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640A" w14:textId="77777777" w:rsidR="00E40244" w:rsidRDefault="00E40244" w:rsidP="00D96093">
      <w:pPr>
        <w:jc w:val="center"/>
        <w:rPr>
          <w:rFonts w:ascii="Palatino Linotype" w:hAnsi="Palatino Linotype"/>
          <w:b/>
          <w:bCs/>
          <w:u w:val="single"/>
        </w:rPr>
      </w:pPr>
    </w:p>
    <w:p w14:paraId="2A362166" w14:textId="77777777" w:rsidR="00B416B1" w:rsidRPr="006046A1" w:rsidRDefault="00B416B1" w:rsidP="00B416B1">
      <w:pPr>
        <w:spacing w:line="360" w:lineRule="auto"/>
        <w:jc w:val="center"/>
        <w:rPr>
          <w:rFonts w:ascii="Palatino Linotype" w:eastAsiaTheme="minorHAnsi" w:hAnsi="Palatino Linotype"/>
          <w:b/>
          <w:bCs/>
          <w:color w:val="44546A" w:themeColor="text2"/>
          <w:sz w:val="40"/>
          <w:szCs w:val="40"/>
          <w:lang w:eastAsia="en-US"/>
        </w:rPr>
      </w:pPr>
      <w:r>
        <w:rPr>
          <w:noProof/>
          <w:lang w:val="en-US" w:eastAsia="en-US"/>
        </w:rPr>
        <w:drawing>
          <wp:inline distT="0" distB="0" distL="0" distR="0" wp14:anchorId="1CCD482C" wp14:editId="0A569050">
            <wp:extent cx="3226411" cy="594995"/>
            <wp:effectExtent l="0" t="0" r="0" b="0"/>
            <wp:docPr id="1932179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3638" cy="598172"/>
                    </a:xfrm>
                    <a:prstGeom prst="rect">
                      <a:avLst/>
                    </a:prstGeom>
                    <a:noFill/>
                    <a:ln>
                      <a:noFill/>
                    </a:ln>
                  </pic:spPr>
                </pic:pic>
              </a:graphicData>
            </a:graphic>
          </wp:inline>
        </w:drawing>
      </w:r>
    </w:p>
    <w:p w14:paraId="79AC1EEB" w14:textId="77777777" w:rsidR="00B416B1" w:rsidRDefault="00B416B1" w:rsidP="00B416B1">
      <w:pPr>
        <w:spacing w:line="360" w:lineRule="auto"/>
        <w:jc w:val="center"/>
        <w:rPr>
          <w:rFonts w:ascii="Palatino Linotype" w:eastAsiaTheme="minorHAnsi" w:hAnsi="Palatino Linotype"/>
          <w:b/>
          <w:bCs/>
          <w:color w:val="44546A" w:themeColor="text2"/>
          <w:sz w:val="36"/>
          <w:szCs w:val="36"/>
          <w:lang w:eastAsia="en-US"/>
        </w:rPr>
      </w:pPr>
      <w:r>
        <w:rPr>
          <w:rFonts w:ascii="Palatino Linotype" w:eastAsiaTheme="minorHAnsi" w:hAnsi="Palatino Linotype"/>
          <w:b/>
          <w:bCs/>
          <w:color w:val="44546A" w:themeColor="text2"/>
          <w:sz w:val="36"/>
          <w:szCs w:val="36"/>
          <w:lang w:eastAsia="en-US"/>
        </w:rPr>
        <w:t xml:space="preserve">TÜRKİYE </w:t>
      </w:r>
    </w:p>
    <w:p w14:paraId="5B2B078B" w14:textId="77777777" w:rsidR="00B416B1" w:rsidRPr="008721AF" w:rsidRDefault="00B416B1" w:rsidP="00B416B1">
      <w:pPr>
        <w:spacing w:line="360" w:lineRule="auto"/>
        <w:jc w:val="center"/>
        <w:rPr>
          <w:rFonts w:ascii="Palatino Linotype" w:eastAsiaTheme="minorHAnsi" w:hAnsi="Palatino Linotype"/>
          <w:b/>
          <w:bCs/>
          <w:color w:val="44546A" w:themeColor="text2"/>
          <w:sz w:val="36"/>
          <w:szCs w:val="36"/>
          <w:lang w:eastAsia="en-US"/>
        </w:rPr>
      </w:pPr>
      <w:r>
        <w:rPr>
          <w:rFonts w:ascii="Palatino Linotype" w:eastAsiaTheme="minorHAnsi" w:hAnsi="Palatino Linotype"/>
          <w:b/>
          <w:bCs/>
          <w:color w:val="44546A" w:themeColor="text2"/>
          <w:sz w:val="36"/>
          <w:szCs w:val="36"/>
          <w:lang w:eastAsia="en-US"/>
        </w:rPr>
        <w:t>RAYLI SİSTEM ARAÇLARI SAN. A.Ş.</w:t>
      </w:r>
    </w:p>
    <w:p w14:paraId="3512662A" w14:textId="77777777" w:rsidR="00E40244" w:rsidRDefault="00E40244" w:rsidP="00D96093">
      <w:pPr>
        <w:jc w:val="center"/>
        <w:rPr>
          <w:rFonts w:ascii="Palatino Linotype" w:hAnsi="Palatino Linotype"/>
          <w:b/>
          <w:bCs/>
          <w:u w:val="single"/>
        </w:rPr>
      </w:pPr>
    </w:p>
    <w:p w14:paraId="250CCC3B" w14:textId="77777777" w:rsidR="00E40244" w:rsidRDefault="00E40244" w:rsidP="00D96093">
      <w:pPr>
        <w:jc w:val="center"/>
        <w:rPr>
          <w:rFonts w:ascii="Palatino Linotype" w:hAnsi="Palatino Linotype"/>
          <w:b/>
          <w:bCs/>
          <w:u w:val="single"/>
        </w:rPr>
      </w:pPr>
    </w:p>
    <w:p w14:paraId="643AD264" w14:textId="77777777" w:rsidR="00E40244" w:rsidRDefault="00E40244" w:rsidP="00D96093">
      <w:pPr>
        <w:jc w:val="center"/>
        <w:rPr>
          <w:rFonts w:ascii="Palatino Linotype" w:hAnsi="Palatino Linotype"/>
          <w:b/>
          <w:bCs/>
          <w:u w:val="single"/>
        </w:rPr>
      </w:pPr>
    </w:p>
    <w:p w14:paraId="2F4A7AEA" w14:textId="7703B4C5" w:rsidR="00D96093" w:rsidRPr="00E40244" w:rsidRDefault="00D96093" w:rsidP="00E40244">
      <w:pPr>
        <w:spacing w:after="0" w:line="360" w:lineRule="auto"/>
        <w:jc w:val="center"/>
        <w:rPr>
          <w:rFonts w:ascii="Palatino Linotype" w:eastAsiaTheme="minorHAnsi" w:hAnsi="Palatino Linotype"/>
          <w:b/>
          <w:bCs/>
          <w:color w:val="44546A" w:themeColor="text2"/>
          <w:kern w:val="0"/>
          <w:sz w:val="36"/>
          <w:szCs w:val="36"/>
          <w:lang w:eastAsia="en-US"/>
          <w14:ligatures w14:val="none"/>
        </w:rPr>
      </w:pPr>
      <w:r w:rsidRPr="00E40244">
        <w:rPr>
          <w:rFonts w:ascii="Palatino Linotype" w:eastAsiaTheme="minorHAnsi" w:hAnsi="Palatino Linotype"/>
          <w:b/>
          <w:bCs/>
          <w:color w:val="44546A" w:themeColor="text2"/>
          <w:kern w:val="0"/>
          <w:sz w:val="36"/>
          <w:szCs w:val="36"/>
          <w:lang w:eastAsia="en-US"/>
          <w14:ligatures w14:val="none"/>
        </w:rPr>
        <w:t>TÜRASAŞ ESKİŞEHİR MİSAFİRHANE BİNASI REHABİLİTASYON PROJESİ</w:t>
      </w:r>
    </w:p>
    <w:p w14:paraId="0291D6AE" w14:textId="77777777" w:rsidR="001A4FD9" w:rsidRDefault="001A4FD9" w:rsidP="001A4FD9">
      <w:pPr>
        <w:spacing w:after="0" w:line="360" w:lineRule="auto"/>
        <w:jc w:val="center"/>
        <w:rPr>
          <w:rFonts w:ascii="Palatino Linotype" w:eastAsiaTheme="minorHAnsi" w:hAnsi="Palatino Linotype"/>
          <w:b/>
          <w:bCs/>
          <w:color w:val="44546A" w:themeColor="text2"/>
          <w:kern w:val="0"/>
          <w:sz w:val="36"/>
          <w:szCs w:val="36"/>
          <w:lang w:eastAsia="en-US"/>
          <w14:ligatures w14:val="none"/>
        </w:rPr>
      </w:pPr>
      <w:r w:rsidRPr="001A4FD9">
        <w:rPr>
          <w:rFonts w:ascii="Palatino Linotype" w:eastAsiaTheme="minorHAnsi" w:hAnsi="Palatino Linotype"/>
          <w:b/>
          <w:bCs/>
          <w:color w:val="44546A" w:themeColor="text2"/>
          <w:kern w:val="0"/>
          <w:sz w:val="36"/>
          <w:szCs w:val="36"/>
          <w:lang w:eastAsia="en-US"/>
          <w14:ligatures w14:val="none"/>
        </w:rPr>
        <w:t xml:space="preserve">KOMPAKSİYON ENJEKSİYONU (COMPACTION GROUTING) </w:t>
      </w:r>
      <w:r>
        <w:rPr>
          <w:rFonts w:ascii="Palatino Linotype" w:eastAsiaTheme="minorHAnsi" w:hAnsi="Palatino Linotype"/>
          <w:b/>
          <w:bCs/>
          <w:color w:val="44546A" w:themeColor="text2"/>
          <w:kern w:val="0"/>
          <w:sz w:val="36"/>
          <w:szCs w:val="36"/>
          <w:lang w:eastAsia="en-US"/>
          <w14:ligatures w14:val="none"/>
        </w:rPr>
        <w:t>UYGULAMA</w:t>
      </w:r>
    </w:p>
    <w:p w14:paraId="2F49ECDA" w14:textId="6294D3E5" w:rsidR="001A4FD9" w:rsidRPr="001A4FD9" w:rsidRDefault="001A4FD9" w:rsidP="001A4FD9">
      <w:pPr>
        <w:spacing w:after="0" w:line="360" w:lineRule="auto"/>
        <w:jc w:val="center"/>
        <w:rPr>
          <w:rFonts w:ascii="Palatino Linotype" w:eastAsiaTheme="minorHAnsi" w:hAnsi="Palatino Linotype"/>
          <w:b/>
          <w:bCs/>
          <w:color w:val="44546A" w:themeColor="text2"/>
          <w:kern w:val="0"/>
          <w:sz w:val="36"/>
          <w:szCs w:val="36"/>
          <w:lang w:eastAsia="en-US"/>
          <w14:ligatures w14:val="none"/>
        </w:rPr>
      </w:pPr>
      <w:r w:rsidRPr="001A4FD9">
        <w:rPr>
          <w:rFonts w:ascii="Palatino Linotype" w:eastAsiaTheme="minorHAnsi" w:hAnsi="Palatino Linotype"/>
          <w:b/>
          <w:bCs/>
          <w:color w:val="44546A" w:themeColor="text2"/>
          <w:kern w:val="0"/>
          <w:sz w:val="36"/>
          <w:szCs w:val="36"/>
          <w:lang w:eastAsia="en-US"/>
          <w14:ligatures w14:val="none"/>
        </w:rPr>
        <w:t xml:space="preserve"> TEKNİK ŞARTNAMESİ</w:t>
      </w:r>
    </w:p>
    <w:p w14:paraId="63D95B88" w14:textId="77777777" w:rsidR="00E40244" w:rsidRDefault="00E40244" w:rsidP="00D96093">
      <w:pPr>
        <w:jc w:val="center"/>
        <w:rPr>
          <w:rFonts w:ascii="Palatino Linotype" w:hAnsi="Palatino Linotype"/>
          <w:b/>
          <w:bCs/>
          <w:u w:val="single"/>
        </w:rPr>
      </w:pPr>
    </w:p>
    <w:p w14:paraId="68B20999" w14:textId="77777777" w:rsidR="00E40244" w:rsidRDefault="00E40244" w:rsidP="00D96093">
      <w:pPr>
        <w:jc w:val="center"/>
        <w:rPr>
          <w:rFonts w:ascii="Palatino Linotype" w:hAnsi="Palatino Linotype"/>
          <w:b/>
          <w:bCs/>
          <w:u w:val="single"/>
        </w:rPr>
      </w:pPr>
    </w:p>
    <w:p w14:paraId="6A1E502D" w14:textId="77777777" w:rsidR="00A376C5" w:rsidRDefault="00A376C5" w:rsidP="00D96093">
      <w:pPr>
        <w:jc w:val="center"/>
        <w:rPr>
          <w:rFonts w:ascii="Palatino Linotype" w:hAnsi="Palatino Linotype"/>
          <w:b/>
          <w:bCs/>
          <w:u w:val="single"/>
        </w:rPr>
      </w:pPr>
    </w:p>
    <w:p w14:paraId="4150950D" w14:textId="77777777" w:rsidR="00A376C5" w:rsidRDefault="00A376C5" w:rsidP="00D96093">
      <w:pPr>
        <w:jc w:val="center"/>
        <w:rPr>
          <w:rFonts w:ascii="Palatino Linotype" w:hAnsi="Palatino Linotype"/>
          <w:b/>
          <w:bCs/>
          <w:u w:val="single"/>
        </w:rPr>
      </w:pPr>
    </w:p>
    <w:p w14:paraId="138EF94C" w14:textId="77777777" w:rsidR="00A376C5" w:rsidRDefault="00A376C5" w:rsidP="00D96093">
      <w:pPr>
        <w:jc w:val="center"/>
        <w:rPr>
          <w:rFonts w:ascii="Palatino Linotype" w:hAnsi="Palatino Linotype"/>
          <w:b/>
          <w:bCs/>
          <w:u w:val="single"/>
        </w:rPr>
      </w:pPr>
    </w:p>
    <w:p w14:paraId="27EB19A9" w14:textId="0463857D" w:rsidR="00E40244" w:rsidRDefault="00B416B1" w:rsidP="00D96093">
      <w:pPr>
        <w:jc w:val="center"/>
        <w:rPr>
          <w:rFonts w:ascii="Palatino Linotype" w:hAnsi="Palatino Linotype"/>
          <w:b/>
          <w:bCs/>
          <w:u w:val="single"/>
        </w:rPr>
      </w:pPr>
      <w:r>
        <w:rPr>
          <w:rFonts w:ascii="Palatino Linotype" w:eastAsiaTheme="minorHAnsi" w:hAnsi="Palatino Linotype"/>
          <w:b/>
          <w:bCs/>
          <w:noProof/>
          <w:color w:val="44546A" w:themeColor="text2"/>
          <w:sz w:val="36"/>
          <w:szCs w:val="36"/>
          <w:lang w:val="en-US" w:eastAsia="en-US"/>
        </w:rPr>
        <w:drawing>
          <wp:inline distT="0" distB="0" distL="0" distR="0" wp14:anchorId="7904D22A" wp14:editId="48FF9995">
            <wp:extent cx="2181513" cy="1011677"/>
            <wp:effectExtent l="0" t="0" r="9525" b="0"/>
            <wp:docPr id="433003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9199" cy="1019879"/>
                    </a:xfrm>
                    <a:prstGeom prst="rect">
                      <a:avLst/>
                    </a:prstGeom>
                    <a:noFill/>
                  </pic:spPr>
                </pic:pic>
              </a:graphicData>
            </a:graphic>
          </wp:inline>
        </w:drawing>
      </w:r>
    </w:p>
    <w:p w14:paraId="66C6D030" w14:textId="35CEEF00" w:rsidR="001A4FD9" w:rsidRPr="001A4FD9" w:rsidRDefault="001A4FD9" w:rsidP="001A4FD9">
      <w:pPr>
        <w:pStyle w:val="ListParagraph"/>
        <w:numPr>
          <w:ilvl w:val="0"/>
          <w:numId w:val="24"/>
        </w:numPr>
        <w:jc w:val="both"/>
        <w:rPr>
          <w:rFonts w:ascii="Palatino Linotype" w:hAnsi="Palatino Linotype"/>
          <w:b/>
          <w:bCs/>
        </w:rPr>
      </w:pPr>
      <w:r w:rsidRPr="001A4FD9">
        <w:rPr>
          <w:rFonts w:ascii="Palatino Linotype" w:hAnsi="Palatino Linotype"/>
          <w:b/>
          <w:bCs/>
        </w:rPr>
        <w:lastRenderedPageBreak/>
        <w:t>GENEL HÜKÜMLER, KAPSAM VE STANDARTLAR</w:t>
      </w:r>
    </w:p>
    <w:p w14:paraId="596C964D" w14:textId="77777777" w:rsidR="001A4FD9" w:rsidRPr="001A4FD9" w:rsidRDefault="001A4FD9" w:rsidP="001A4FD9">
      <w:pPr>
        <w:pStyle w:val="ListParagraph"/>
        <w:jc w:val="both"/>
        <w:rPr>
          <w:rFonts w:ascii="Palatino Linotype" w:hAnsi="Palatino Linotype"/>
          <w:b/>
          <w:bCs/>
        </w:rPr>
      </w:pPr>
    </w:p>
    <w:p w14:paraId="7CC724A4" w14:textId="0CEAAE65"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Kapsam</w:t>
      </w:r>
    </w:p>
    <w:p w14:paraId="16908E9D" w14:textId="77777777" w:rsidR="001A4FD9" w:rsidRPr="005860F5" w:rsidRDefault="001A4FD9" w:rsidP="001A4FD9">
      <w:pPr>
        <w:jc w:val="both"/>
        <w:rPr>
          <w:rFonts w:ascii="Palatino Linotype" w:hAnsi="Palatino Linotype"/>
        </w:rPr>
      </w:pPr>
      <w:r w:rsidRPr="005860F5">
        <w:rPr>
          <w:rFonts w:ascii="Palatino Linotype" w:hAnsi="Palatino Linotype"/>
        </w:rPr>
        <w:t xml:space="preserve">Bu teknik şartname, Eskişehir İli, Tepebaşı İlçesi, Hoşnudiye Mahallesi, 25431 Ada, 1 Parsel adresinde yer alan </w:t>
      </w:r>
      <w:r w:rsidRPr="005860F5">
        <w:rPr>
          <w:rFonts w:ascii="Palatino Linotype" w:hAnsi="Palatino Linotype"/>
          <w:b/>
          <w:bCs/>
        </w:rPr>
        <w:t>TÜRASAŞ Misafirhane Binası Rehabilitasyon Projesi</w:t>
      </w:r>
      <w:r w:rsidRPr="005860F5">
        <w:rPr>
          <w:rFonts w:ascii="Palatino Linotype" w:hAnsi="Palatino Linotype"/>
        </w:rPr>
        <w:t xml:space="preserve"> kapsamında, geoteknik zemin iyileştirme raporunda belirtilen sismik sıvılaşma riskine karşı bina temel altı zemininde rijitlik artışı sağlamak, gevşek granüler tabakaları deplase ederek sıkıştırmak ve boşluk suyu basıncı gelişimini kontrol altına almak amacıyla uygulanacak </w:t>
      </w:r>
      <w:r w:rsidRPr="005860F5">
        <w:rPr>
          <w:rFonts w:ascii="Palatino Linotype" w:hAnsi="Palatino Linotype"/>
          <w:b/>
          <w:bCs/>
        </w:rPr>
        <w:t>Kompaksiyon Enjeksiyonu (Compaction Grouting)</w:t>
      </w:r>
      <w:r w:rsidRPr="005860F5">
        <w:rPr>
          <w:rFonts w:ascii="Palatino Linotype" w:hAnsi="Palatino Linotype"/>
        </w:rPr>
        <w:t xml:space="preserve"> işlerinin tasarım, malzeme, uygulama, işçilik, deformasyon takibi ve kalite kontrol kriterlerini kapsamaktadır.</w:t>
      </w:r>
    </w:p>
    <w:p w14:paraId="2AB76D84" w14:textId="7D3A9A68"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Proje ve Zemin Koşullarının Özeti</w:t>
      </w:r>
    </w:p>
    <w:p w14:paraId="39498E20" w14:textId="77777777" w:rsidR="001A4FD9" w:rsidRPr="004133FB" w:rsidRDefault="001A4FD9" w:rsidP="001A4FD9">
      <w:pPr>
        <w:numPr>
          <w:ilvl w:val="0"/>
          <w:numId w:val="13"/>
        </w:numPr>
        <w:jc w:val="both"/>
        <w:rPr>
          <w:rFonts w:ascii="Palatino Linotype" w:hAnsi="Palatino Linotype"/>
        </w:rPr>
      </w:pPr>
      <w:r w:rsidRPr="004133FB">
        <w:rPr>
          <w:rFonts w:ascii="Palatino Linotype" w:hAnsi="Palatino Linotype"/>
        </w:rPr>
        <w:t>Zemin Profili: Sahanın üst kesimlerinde (~1.50–6.50 m) yüksek oturma potansiyeline sahip, yumuşak-orta kıvamlı killi silt (MH) ve siltli kil (CH) birimleri; alt kesimlerde ise sismik sarsıntı altında sıvılaşma potansiyeli yüksek gevşek granüler (kum-çakıl, GW-GM, SW-SM) seviyeler yer almaktadır.</w:t>
      </w:r>
    </w:p>
    <w:p w14:paraId="647D7C19" w14:textId="77777777" w:rsidR="004133FB" w:rsidRPr="004133FB" w:rsidRDefault="001A4FD9" w:rsidP="004133FB">
      <w:pPr>
        <w:numPr>
          <w:ilvl w:val="0"/>
          <w:numId w:val="1"/>
        </w:numPr>
        <w:jc w:val="both"/>
        <w:rPr>
          <w:rFonts w:ascii="Palatino Linotype" w:hAnsi="Palatino Linotype"/>
        </w:rPr>
      </w:pPr>
      <w:r w:rsidRPr="004133FB">
        <w:rPr>
          <w:rFonts w:ascii="Palatino Linotype" w:hAnsi="Palatino Linotype"/>
        </w:rPr>
        <w:t>Yeraltı Su Seviyesi (YASS): Porsuk Çayı'na yakınlık nedeniyle yüzeye oldukça yakın olup, ölçülen stabil su seviyesi 4.20 metredir.</w:t>
      </w:r>
      <w:r w:rsidR="004133FB" w:rsidRPr="004133FB">
        <w:rPr>
          <w:rFonts w:ascii="Palatino Linotype" w:hAnsi="Palatino Linotype"/>
        </w:rPr>
        <w:t xml:space="preserve"> Mevsimsel olarak yüzeyde olması da ihtimal dahilindedir.</w:t>
      </w:r>
    </w:p>
    <w:p w14:paraId="49AD5520" w14:textId="3F86FBBF" w:rsidR="001A4FD9" w:rsidRPr="004133FB" w:rsidRDefault="001A4FD9" w:rsidP="00BC2755">
      <w:pPr>
        <w:numPr>
          <w:ilvl w:val="0"/>
          <w:numId w:val="13"/>
        </w:numPr>
        <w:jc w:val="both"/>
        <w:rPr>
          <w:rFonts w:ascii="Palatino Linotype" w:hAnsi="Palatino Linotype"/>
        </w:rPr>
      </w:pPr>
      <w:r w:rsidRPr="004133FB">
        <w:rPr>
          <w:rFonts w:ascii="Palatino Linotype" w:hAnsi="Palatino Linotype"/>
        </w:rPr>
        <w:t xml:space="preserve">Geoteknik Risk ve Uygulama Amacı: Temel altındaki sıvılaşabilir tabakaların deplase edilmesi, çevre zemin zerrelerinin birbirine yaklaştırılması suretiyle rölatif sıkılığın artırılması ve mevcut radye temelin altındaki </w:t>
      </w:r>
      <w:r w:rsidR="00511260">
        <w:rPr>
          <w:rFonts w:ascii="Palatino Linotype" w:hAnsi="Palatino Linotype"/>
        </w:rPr>
        <w:t xml:space="preserve">belirlenen hedef derinlikteki </w:t>
      </w:r>
      <w:r w:rsidRPr="004133FB">
        <w:rPr>
          <w:rFonts w:ascii="Palatino Linotype" w:hAnsi="Palatino Linotype"/>
        </w:rPr>
        <w:t>olası boşlukların doldurularak yapının homojen taşınabilirliğinin sağlanması hedeflenmektedir.</w:t>
      </w:r>
      <w:r w:rsidR="00BC2755" w:rsidRPr="00BC2755">
        <w:rPr>
          <w:rFonts w:ascii="Palatino Linotype" w:hAnsi="Palatino Linotype"/>
        </w:rPr>
        <w:t xml:space="preserve"> </w:t>
      </w:r>
    </w:p>
    <w:p w14:paraId="50BD877F" w14:textId="408D2B95"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İlgili Standartlar</w:t>
      </w:r>
    </w:p>
    <w:p w14:paraId="4CD83E24" w14:textId="77777777" w:rsidR="001A4FD9" w:rsidRPr="005860F5" w:rsidRDefault="001A4FD9" w:rsidP="001A4FD9">
      <w:pPr>
        <w:jc w:val="both"/>
        <w:rPr>
          <w:rFonts w:ascii="Palatino Linotype" w:hAnsi="Palatino Linotype"/>
        </w:rPr>
      </w:pPr>
      <w:r w:rsidRPr="005860F5">
        <w:rPr>
          <w:rFonts w:ascii="Palatino Linotype" w:hAnsi="Palatino Linotype"/>
        </w:rPr>
        <w:t>İmalat boyunca aşağıda belirtilen ulusal ve uluslararası standartların en güncel sürümlerine uyulacaktır:</w:t>
      </w:r>
    </w:p>
    <w:p w14:paraId="1ED4C811" w14:textId="77777777" w:rsidR="001A4FD9" w:rsidRPr="005860F5" w:rsidRDefault="001A4FD9" w:rsidP="001A4FD9">
      <w:pPr>
        <w:numPr>
          <w:ilvl w:val="0"/>
          <w:numId w:val="14"/>
        </w:numPr>
        <w:jc w:val="both"/>
        <w:rPr>
          <w:rFonts w:ascii="Palatino Linotype" w:hAnsi="Palatino Linotype"/>
        </w:rPr>
      </w:pPr>
      <w:r w:rsidRPr="005860F5">
        <w:rPr>
          <w:rFonts w:ascii="Palatino Linotype" w:hAnsi="Palatino Linotype"/>
          <w:b/>
          <w:bCs/>
        </w:rPr>
        <w:t>EN 12715:</w:t>
      </w:r>
      <w:r w:rsidRPr="005860F5">
        <w:rPr>
          <w:rFonts w:ascii="Palatino Linotype" w:hAnsi="Palatino Linotype"/>
        </w:rPr>
        <w:t xml:space="preserve"> Execution of Special Geotechnical Works - Grouting (Özel Geoteknik İmalatlar - Enjeksiyon)</w:t>
      </w:r>
    </w:p>
    <w:p w14:paraId="640BF79C" w14:textId="77777777" w:rsidR="001A4FD9" w:rsidRPr="005860F5" w:rsidRDefault="001A4FD9" w:rsidP="001A4FD9">
      <w:pPr>
        <w:numPr>
          <w:ilvl w:val="0"/>
          <w:numId w:val="14"/>
        </w:numPr>
        <w:jc w:val="both"/>
        <w:rPr>
          <w:rFonts w:ascii="Palatino Linotype" w:hAnsi="Palatino Linotype"/>
        </w:rPr>
      </w:pPr>
      <w:r w:rsidRPr="005860F5">
        <w:rPr>
          <w:rFonts w:ascii="Palatino Linotype" w:hAnsi="Palatino Linotype"/>
          <w:b/>
          <w:bCs/>
        </w:rPr>
        <w:t>TBDY (2018):</w:t>
      </w:r>
      <w:r w:rsidRPr="005860F5">
        <w:rPr>
          <w:rFonts w:ascii="Palatino Linotype" w:hAnsi="Palatino Linotype"/>
        </w:rPr>
        <w:t xml:space="preserve"> Türkiye Bina Deprem Yönetmeliği (Bölüm 16 - Deprem Etkisi Altında Temel Zemini ve Yapı Tasarımı Esasları)</w:t>
      </w:r>
    </w:p>
    <w:p w14:paraId="3A2707CB" w14:textId="77777777" w:rsidR="001A4FD9" w:rsidRPr="005860F5" w:rsidRDefault="001A4FD9" w:rsidP="001A4FD9">
      <w:pPr>
        <w:numPr>
          <w:ilvl w:val="0"/>
          <w:numId w:val="14"/>
        </w:numPr>
        <w:jc w:val="both"/>
        <w:rPr>
          <w:rFonts w:ascii="Palatino Linotype" w:hAnsi="Palatino Linotype"/>
        </w:rPr>
      </w:pPr>
      <w:r w:rsidRPr="005860F5">
        <w:rPr>
          <w:rFonts w:ascii="Palatino Linotype" w:hAnsi="Palatino Linotype"/>
          <w:b/>
          <w:bCs/>
        </w:rPr>
        <w:t>TS EN 197-1:</w:t>
      </w:r>
      <w:r w:rsidRPr="005860F5">
        <w:rPr>
          <w:rFonts w:ascii="Palatino Linotype" w:hAnsi="Palatino Linotype"/>
        </w:rPr>
        <w:t xml:space="preserve"> Çimento - Bölüm 1: Genel Çimento Standartları</w:t>
      </w:r>
    </w:p>
    <w:p w14:paraId="0662D4B6" w14:textId="77777777" w:rsidR="001A4FD9" w:rsidRPr="005860F5" w:rsidRDefault="001A4FD9" w:rsidP="001A4FD9">
      <w:pPr>
        <w:numPr>
          <w:ilvl w:val="0"/>
          <w:numId w:val="14"/>
        </w:numPr>
        <w:jc w:val="both"/>
        <w:rPr>
          <w:rFonts w:ascii="Palatino Linotype" w:hAnsi="Palatino Linotype"/>
        </w:rPr>
      </w:pPr>
      <w:r w:rsidRPr="005860F5">
        <w:rPr>
          <w:rFonts w:ascii="Palatino Linotype" w:hAnsi="Palatino Linotype"/>
          <w:b/>
          <w:bCs/>
        </w:rPr>
        <w:lastRenderedPageBreak/>
        <w:t>TS EN 1008:</w:t>
      </w:r>
      <w:r w:rsidRPr="005860F5">
        <w:rPr>
          <w:rFonts w:ascii="Palatino Linotype" w:hAnsi="Palatino Linotype"/>
        </w:rPr>
        <w:t xml:space="preserve"> Beton Karma Suyu Standartları</w:t>
      </w:r>
    </w:p>
    <w:p w14:paraId="1886F50E" w14:textId="77777777" w:rsidR="001A4FD9" w:rsidRPr="005860F5" w:rsidRDefault="001A4FD9" w:rsidP="001A4FD9">
      <w:pPr>
        <w:numPr>
          <w:ilvl w:val="0"/>
          <w:numId w:val="14"/>
        </w:numPr>
        <w:jc w:val="both"/>
        <w:rPr>
          <w:rFonts w:ascii="Palatino Linotype" w:hAnsi="Palatino Linotype"/>
        </w:rPr>
      </w:pPr>
      <w:r w:rsidRPr="005860F5">
        <w:rPr>
          <w:rFonts w:ascii="Palatino Linotype" w:hAnsi="Palatino Linotype"/>
          <w:b/>
          <w:bCs/>
        </w:rPr>
        <w:t>ASTM C143 / TS EN 12350-2:</w:t>
      </w:r>
      <w:r w:rsidRPr="005860F5">
        <w:rPr>
          <w:rFonts w:ascii="Palatino Linotype" w:hAnsi="Palatino Linotype"/>
        </w:rPr>
        <w:t xml:space="preserve"> Taze Beton Slump (Çökme) Deneyi</w:t>
      </w:r>
    </w:p>
    <w:p w14:paraId="0C73D0A3" w14:textId="12AB5591" w:rsidR="001A4FD9" w:rsidRPr="001A4FD9" w:rsidRDefault="001A4FD9" w:rsidP="001A4FD9">
      <w:pPr>
        <w:pStyle w:val="ListParagraph"/>
        <w:numPr>
          <w:ilvl w:val="0"/>
          <w:numId w:val="24"/>
        </w:numPr>
        <w:jc w:val="both"/>
        <w:rPr>
          <w:rFonts w:ascii="Palatino Linotype" w:hAnsi="Palatino Linotype"/>
          <w:b/>
          <w:bCs/>
        </w:rPr>
      </w:pPr>
      <w:r w:rsidRPr="001A4FD9">
        <w:rPr>
          <w:rFonts w:ascii="Palatino Linotype" w:hAnsi="Palatino Linotype"/>
          <w:b/>
          <w:bCs/>
        </w:rPr>
        <w:t>TASARIM VE KARELAJ PARAMETRELERİ</w:t>
      </w:r>
    </w:p>
    <w:p w14:paraId="5217B9AE" w14:textId="77777777" w:rsidR="001A4FD9" w:rsidRPr="005860F5" w:rsidRDefault="001A4FD9" w:rsidP="001A4FD9">
      <w:pPr>
        <w:jc w:val="both"/>
        <w:rPr>
          <w:rFonts w:ascii="Palatino Linotype" w:hAnsi="Palatino Linotype"/>
        </w:rPr>
      </w:pPr>
      <w:r w:rsidRPr="005860F5">
        <w:rPr>
          <w:rFonts w:ascii="Palatino Linotype" w:hAnsi="Palatino Linotype"/>
        </w:rPr>
        <w:t>Geoteknik raporda belirtilen iyileştirme hedeflerini sağlamak üzere kompaksiyon enjeksiyonu tasarımı aşağıdaki geometrik ve hacimsel kriterlere uygun olarak yürütülecektir:</w:t>
      </w:r>
    </w:p>
    <w:p w14:paraId="733B3873" w14:textId="236C40C1" w:rsidR="001A4FD9" w:rsidRPr="005860F5" w:rsidRDefault="001A4FD9" w:rsidP="001A4FD9">
      <w:pPr>
        <w:numPr>
          <w:ilvl w:val="0"/>
          <w:numId w:val="15"/>
        </w:numPr>
        <w:jc w:val="both"/>
        <w:rPr>
          <w:rFonts w:ascii="Palatino Linotype" w:hAnsi="Palatino Linotype"/>
        </w:rPr>
      </w:pPr>
      <w:r w:rsidRPr="005860F5">
        <w:rPr>
          <w:rFonts w:ascii="Palatino Linotype" w:hAnsi="Palatino Linotype"/>
          <w:b/>
          <w:bCs/>
        </w:rPr>
        <w:t>Uygulama Alanı ve Karelaj:</w:t>
      </w:r>
      <w:r w:rsidRPr="005860F5">
        <w:rPr>
          <w:rFonts w:ascii="Palatino Linotype" w:hAnsi="Palatino Linotype"/>
        </w:rPr>
        <w:t xml:space="preserve"> Enjeksiyon kuyuları, bina temel alanı ve etki bölgesini kapsayacak şekilde </w:t>
      </w:r>
      <w:r w:rsidR="004133FB">
        <w:rPr>
          <w:rFonts w:ascii="Palatino Linotype" w:hAnsi="Palatino Linotype"/>
        </w:rPr>
        <w:t>plandakine</w:t>
      </w:r>
      <w:r w:rsidRPr="005860F5">
        <w:rPr>
          <w:rFonts w:ascii="Palatino Linotype" w:hAnsi="Palatino Linotype"/>
        </w:rPr>
        <w:t xml:space="preserve"> göre sahada işaretlenecektir. </w:t>
      </w:r>
      <w:r w:rsidR="004133FB">
        <w:rPr>
          <w:rFonts w:ascii="Palatino Linotype" w:hAnsi="Palatino Linotype"/>
        </w:rPr>
        <w:t xml:space="preserve"> </w:t>
      </w:r>
      <w:r w:rsidR="004133FB" w:rsidRPr="004133FB">
        <w:rPr>
          <w:rFonts w:ascii="Palatino Linotype" w:hAnsi="Palatino Linotype"/>
        </w:rPr>
        <w:t xml:space="preserve">Eğimli enjeksiyon uygulamalarında delgi yönü, açısı ve enjeksiyon kademeleri altyapı ve betonarme temel seviyesi dikkate alınarak uygulanacaktır. </w:t>
      </w:r>
    </w:p>
    <w:p w14:paraId="41F197BA" w14:textId="77777777" w:rsidR="001A4FD9" w:rsidRPr="005860F5" w:rsidRDefault="001A4FD9" w:rsidP="001A4FD9">
      <w:pPr>
        <w:numPr>
          <w:ilvl w:val="0"/>
          <w:numId w:val="15"/>
        </w:numPr>
        <w:jc w:val="both"/>
        <w:rPr>
          <w:rFonts w:ascii="Palatino Linotype" w:hAnsi="Palatino Linotype"/>
        </w:rPr>
      </w:pPr>
      <w:r w:rsidRPr="005860F5">
        <w:rPr>
          <w:rFonts w:ascii="Palatino Linotype" w:hAnsi="Palatino Linotype"/>
          <w:b/>
          <w:bCs/>
        </w:rPr>
        <w:t>Uygulama Derinlik Aralığı:</w:t>
      </w:r>
      <w:r w:rsidRPr="005860F5">
        <w:rPr>
          <w:rFonts w:ascii="Palatino Linotype" w:hAnsi="Palatino Linotype"/>
        </w:rPr>
        <w:t xml:space="preserve"> Temel taban kotundan başlayarak sıvılaşabilir gevşek seviyeleri tamamen kapsayacak ve raporda öngörülen derinliğe kadar kesintisiz devam edecektir.</w:t>
      </w:r>
    </w:p>
    <w:p w14:paraId="6C568F76" w14:textId="77777777" w:rsidR="001A4FD9" w:rsidRPr="005860F5" w:rsidRDefault="001A4FD9" w:rsidP="001A4FD9">
      <w:pPr>
        <w:numPr>
          <w:ilvl w:val="0"/>
          <w:numId w:val="15"/>
        </w:numPr>
        <w:jc w:val="both"/>
        <w:rPr>
          <w:rFonts w:ascii="Palatino Linotype" w:hAnsi="Palatino Linotype"/>
        </w:rPr>
      </w:pPr>
      <w:r w:rsidRPr="005860F5">
        <w:rPr>
          <w:rFonts w:ascii="Palatino Linotype" w:hAnsi="Palatino Linotype"/>
          <w:b/>
          <w:bCs/>
        </w:rPr>
        <w:t>Zemin Hacim Deplasman Oranı:</w:t>
      </w:r>
      <w:r w:rsidRPr="005860F5">
        <w:rPr>
          <w:rFonts w:ascii="Palatino Linotype" w:hAnsi="Palatino Linotype"/>
        </w:rPr>
        <w:t xml:space="preserve"> E</w:t>
      </w:r>
      <w:r w:rsidRPr="004133FB">
        <w:rPr>
          <w:rFonts w:ascii="Palatino Linotype" w:hAnsi="Palatino Linotype"/>
        </w:rPr>
        <w:t>njeksiyonun zemin içerisindeki teorik hacimsel oranı, hedef sıkılık artışına bağlı olarak zemin hacminin minimum %4.0'ü ile %8.0'i arasında planlanacaktır.</w:t>
      </w:r>
    </w:p>
    <w:p w14:paraId="24465BCF" w14:textId="5C550D7B" w:rsidR="001A4FD9" w:rsidRPr="001A4FD9" w:rsidRDefault="001A4FD9" w:rsidP="001A4FD9">
      <w:pPr>
        <w:pStyle w:val="ListParagraph"/>
        <w:numPr>
          <w:ilvl w:val="0"/>
          <w:numId w:val="24"/>
        </w:numPr>
        <w:jc w:val="both"/>
        <w:rPr>
          <w:rFonts w:ascii="Palatino Linotype" w:hAnsi="Palatino Linotype"/>
          <w:b/>
          <w:bCs/>
        </w:rPr>
      </w:pPr>
      <w:r w:rsidRPr="001A4FD9">
        <w:rPr>
          <w:rFonts w:ascii="Palatino Linotype" w:hAnsi="Palatino Linotype"/>
          <w:b/>
          <w:bCs/>
        </w:rPr>
        <w:t>MALZEMELER VE ENJEKSİYON HARCI ESASLARI</w:t>
      </w:r>
    </w:p>
    <w:p w14:paraId="1B1D4ED9" w14:textId="164C4ABB"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Harç Bileşenleri</w:t>
      </w:r>
    </w:p>
    <w:p w14:paraId="7CAE7C44" w14:textId="1EDE5CCD" w:rsidR="001A4FD9" w:rsidRPr="005860F5" w:rsidRDefault="001A4FD9" w:rsidP="001A4FD9">
      <w:pPr>
        <w:numPr>
          <w:ilvl w:val="0"/>
          <w:numId w:val="16"/>
        </w:numPr>
        <w:jc w:val="both"/>
        <w:rPr>
          <w:rFonts w:ascii="Palatino Linotype" w:hAnsi="Palatino Linotype"/>
        </w:rPr>
      </w:pPr>
      <w:r w:rsidRPr="005860F5">
        <w:rPr>
          <w:rFonts w:ascii="Palatino Linotype" w:hAnsi="Palatino Linotype"/>
          <w:b/>
          <w:bCs/>
        </w:rPr>
        <w:t>Çimento:</w:t>
      </w:r>
      <w:r w:rsidRPr="005860F5">
        <w:rPr>
          <w:rFonts w:ascii="Palatino Linotype" w:hAnsi="Palatino Linotype"/>
        </w:rPr>
        <w:t xml:space="preserve"> TS EN 197-1 standartlarına uygun </w:t>
      </w:r>
      <w:r w:rsidRPr="005860F5">
        <w:rPr>
          <w:rFonts w:ascii="Palatino Linotype" w:hAnsi="Palatino Linotype"/>
          <w:b/>
          <w:bCs/>
        </w:rPr>
        <w:t>CEM I 42.5 R</w:t>
      </w:r>
      <w:r w:rsidRPr="005860F5">
        <w:rPr>
          <w:rFonts w:ascii="Palatino Linotype" w:hAnsi="Palatino Linotype"/>
        </w:rPr>
        <w:t xml:space="preserve"> veya </w:t>
      </w:r>
      <w:r w:rsidR="001E2E39" w:rsidRPr="00D96093">
        <w:rPr>
          <w:rFonts w:ascii="Palatino Linotype" w:hAnsi="Palatino Linotype"/>
        </w:rPr>
        <w:t xml:space="preserve">sülfata/yeraltı suyu agresifliğine karşı dayanımlı </w:t>
      </w:r>
      <w:r w:rsidR="001E2E39">
        <w:rPr>
          <w:rFonts w:ascii="Palatino Linotype" w:hAnsi="Palatino Linotype"/>
        </w:rPr>
        <w:t>SR5</w:t>
      </w:r>
      <w:r w:rsidR="001E2E39" w:rsidRPr="00D96093">
        <w:rPr>
          <w:rFonts w:ascii="Palatino Linotype" w:hAnsi="Palatino Linotype"/>
        </w:rPr>
        <w:t xml:space="preserve"> tipi çimento kullanılacaktır</w:t>
      </w:r>
      <w:r w:rsidRPr="005860F5">
        <w:rPr>
          <w:rFonts w:ascii="Palatino Linotype" w:hAnsi="Palatino Linotype"/>
        </w:rPr>
        <w:t>. Tonaj takibi ve sarfiyat kontrolleri her kuyu için ayrı ayrı yapılacaktır.</w:t>
      </w:r>
    </w:p>
    <w:p w14:paraId="4CE23111" w14:textId="77777777" w:rsidR="001A4FD9" w:rsidRPr="005860F5" w:rsidRDefault="001A4FD9" w:rsidP="001A4FD9">
      <w:pPr>
        <w:numPr>
          <w:ilvl w:val="0"/>
          <w:numId w:val="16"/>
        </w:numPr>
        <w:jc w:val="both"/>
        <w:rPr>
          <w:rFonts w:ascii="Palatino Linotype" w:hAnsi="Palatino Linotype"/>
        </w:rPr>
      </w:pPr>
      <w:r w:rsidRPr="005860F5">
        <w:rPr>
          <w:rFonts w:ascii="Palatino Linotype" w:hAnsi="Palatino Linotype"/>
          <w:b/>
          <w:bCs/>
        </w:rPr>
        <w:t>Agrega (İnce Malzeme ve Kum):</w:t>
      </w:r>
      <w:r w:rsidRPr="005860F5">
        <w:rPr>
          <w:rFonts w:ascii="Palatino Linotype" w:hAnsi="Palatino Linotype"/>
        </w:rPr>
        <w:t xml:space="preserve"> Enjeksiyon harcının zemin çatlaklarına sızıp hidrolik çatlatma (fracturing) yapmaması, harcın bir yumru (bulb) halinde büyüyerek zemini sıkıştırması için harçta yüksek oranda ince dane içeren (0 - 4 mm arası, silisli veya kalker kökenli) agrega kullanılacaktır. İnce dane (0.075 mm altı) oranı ağırlıkça minimum </w:t>
      </w:r>
      <w:r w:rsidRPr="005860F5">
        <w:rPr>
          <w:rFonts w:ascii="Palatino Linotype" w:hAnsi="Palatino Linotype"/>
          <w:b/>
          <w:bCs/>
        </w:rPr>
        <w:t>%15 - %25</w:t>
      </w:r>
      <w:r w:rsidRPr="005860F5">
        <w:rPr>
          <w:rFonts w:ascii="Palatino Linotype" w:hAnsi="Palatino Linotype"/>
        </w:rPr>
        <w:t xml:space="preserve"> olmalıdır.</w:t>
      </w:r>
    </w:p>
    <w:p w14:paraId="1C813677" w14:textId="77777777" w:rsidR="001A4FD9" w:rsidRPr="005860F5" w:rsidRDefault="001A4FD9" w:rsidP="001A4FD9">
      <w:pPr>
        <w:numPr>
          <w:ilvl w:val="0"/>
          <w:numId w:val="16"/>
        </w:numPr>
        <w:jc w:val="both"/>
        <w:rPr>
          <w:rFonts w:ascii="Palatino Linotype" w:hAnsi="Palatino Linotype"/>
        </w:rPr>
      </w:pPr>
      <w:r w:rsidRPr="005860F5">
        <w:rPr>
          <w:rFonts w:ascii="Palatino Linotype" w:hAnsi="Palatino Linotype"/>
          <w:b/>
          <w:bCs/>
        </w:rPr>
        <w:t>Su:</w:t>
      </w:r>
      <w:r w:rsidRPr="005860F5">
        <w:rPr>
          <w:rFonts w:ascii="Palatino Linotype" w:hAnsi="Palatino Linotype"/>
        </w:rPr>
        <w:t xml:space="preserve"> TS EN 1008'e uygun, temiz karma suyu kullanılacaktır.</w:t>
      </w:r>
    </w:p>
    <w:p w14:paraId="24132C2E" w14:textId="77777777" w:rsidR="001A4FD9" w:rsidRPr="005860F5" w:rsidRDefault="001A4FD9" w:rsidP="001A4FD9">
      <w:pPr>
        <w:jc w:val="both"/>
        <w:rPr>
          <w:rFonts w:ascii="Palatino Linotype" w:hAnsi="Palatino Linotype"/>
          <w:b/>
          <w:bCs/>
        </w:rPr>
      </w:pPr>
      <w:r w:rsidRPr="005860F5">
        <w:rPr>
          <w:rFonts w:ascii="Palatino Linotype" w:hAnsi="Palatino Linotype"/>
          <w:b/>
          <w:bCs/>
        </w:rPr>
        <w:t>3.2. Harç Karakteristiği ve Kıvamı (Slump)</w:t>
      </w:r>
    </w:p>
    <w:p w14:paraId="0E9295FD" w14:textId="77777777" w:rsidR="001A4FD9" w:rsidRPr="005860F5" w:rsidRDefault="001A4FD9" w:rsidP="001A4FD9">
      <w:pPr>
        <w:jc w:val="both"/>
        <w:rPr>
          <w:rFonts w:ascii="Palatino Linotype" w:hAnsi="Palatino Linotype"/>
        </w:rPr>
      </w:pPr>
      <w:r w:rsidRPr="005860F5">
        <w:rPr>
          <w:rFonts w:ascii="Palatino Linotype" w:hAnsi="Palatino Linotype"/>
        </w:rPr>
        <w:t xml:space="preserve">Kompaksiyon enjeksiyonu harcı </w:t>
      </w:r>
      <w:r w:rsidRPr="005860F5">
        <w:rPr>
          <w:rFonts w:ascii="Palatino Linotype" w:hAnsi="Palatino Linotype"/>
          <w:b/>
          <w:bCs/>
        </w:rPr>
        <w:t>"çok katı / düşük çökme değerli" (stiff/low-slump)</w:t>
      </w:r>
      <w:r w:rsidRPr="005860F5">
        <w:rPr>
          <w:rFonts w:ascii="Palatino Linotype" w:hAnsi="Palatino Linotype"/>
        </w:rPr>
        <w:t xml:space="preserve"> bir harç olmak zorundadır. Akıcı harçlar kesinlikle kompaksiyon enjeksiyonunda kullanılamaz.</w:t>
      </w:r>
    </w:p>
    <w:p w14:paraId="2890C402" w14:textId="77777777" w:rsidR="001A4FD9" w:rsidRPr="005860F5" w:rsidRDefault="001A4FD9" w:rsidP="001A4FD9">
      <w:pPr>
        <w:numPr>
          <w:ilvl w:val="0"/>
          <w:numId w:val="17"/>
        </w:numPr>
        <w:jc w:val="both"/>
        <w:rPr>
          <w:rFonts w:ascii="Palatino Linotype" w:hAnsi="Palatino Linotype"/>
        </w:rPr>
      </w:pPr>
      <w:r w:rsidRPr="005860F5">
        <w:rPr>
          <w:rFonts w:ascii="Palatino Linotype" w:hAnsi="Palatino Linotype"/>
          <w:b/>
          <w:bCs/>
        </w:rPr>
        <w:lastRenderedPageBreak/>
        <w:t>Hedef Slump (Çökme) Değeri:</w:t>
      </w:r>
      <w:r w:rsidRPr="005860F5">
        <w:rPr>
          <w:rFonts w:ascii="Palatino Linotype" w:hAnsi="Palatino Linotype"/>
        </w:rPr>
        <w:t xml:space="preserve"> Enjeksiyon pompasının çıkışında ölçülen slump değeri en </w:t>
      </w:r>
      <w:r w:rsidRPr="004133FB">
        <w:rPr>
          <w:rFonts w:ascii="Palatino Linotype" w:hAnsi="Palatino Linotype"/>
        </w:rPr>
        <w:t>fazla 25 mm ile 50 mm arasında olacaktır.</w:t>
      </w:r>
    </w:p>
    <w:p w14:paraId="54BC43F0" w14:textId="77777777" w:rsidR="001A4FD9" w:rsidRPr="004133FB" w:rsidRDefault="001A4FD9" w:rsidP="001A4FD9">
      <w:pPr>
        <w:numPr>
          <w:ilvl w:val="0"/>
          <w:numId w:val="17"/>
        </w:numPr>
        <w:jc w:val="both"/>
        <w:rPr>
          <w:rFonts w:ascii="Palatino Linotype" w:hAnsi="Palatino Linotype"/>
        </w:rPr>
      </w:pPr>
      <w:r w:rsidRPr="005860F5">
        <w:rPr>
          <w:rFonts w:ascii="Palatino Linotype" w:hAnsi="Palatino Linotype"/>
          <w:b/>
          <w:bCs/>
        </w:rPr>
        <w:t>Tasarım Dayanımı:</w:t>
      </w:r>
      <w:r w:rsidRPr="005860F5">
        <w:rPr>
          <w:rFonts w:ascii="Palatino Linotype" w:hAnsi="Palatino Linotype"/>
        </w:rPr>
        <w:t xml:space="preserve"> </w:t>
      </w:r>
      <w:r w:rsidRPr="004133FB">
        <w:rPr>
          <w:rFonts w:ascii="Palatino Linotype" w:hAnsi="Palatino Linotype"/>
        </w:rPr>
        <w:t>Harcın 28 günlük küp/silindir basınç dayanımı en az f</w:t>
      </w:r>
      <w:r w:rsidRPr="004133FB">
        <w:rPr>
          <w:rFonts w:ascii="Palatino Linotype" w:hAnsi="Palatino Linotype"/>
          <w:vertAlign w:val="subscript"/>
        </w:rPr>
        <w:t>ck</w:t>
      </w:r>
      <w:r w:rsidRPr="004133FB">
        <w:rPr>
          <w:rFonts w:ascii="Palatino Linotype" w:hAnsi="Palatino Linotype"/>
        </w:rPr>
        <w:t xml:space="preserve"> = 5.0 MPa olmalıdır.</w:t>
      </w:r>
    </w:p>
    <w:p w14:paraId="122D370E" w14:textId="63129123" w:rsidR="001A4FD9" w:rsidRDefault="001A4FD9" w:rsidP="001A4FD9">
      <w:pPr>
        <w:pStyle w:val="ListParagraph"/>
        <w:numPr>
          <w:ilvl w:val="0"/>
          <w:numId w:val="24"/>
        </w:numPr>
        <w:jc w:val="both"/>
        <w:rPr>
          <w:rFonts w:ascii="Palatino Linotype" w:hAnsi="Palatino Linotype"/>
          <w:b/>
          <w:bCs/>
        </w:rPr>
      </w:pPr>
      <w:r w:rsidRPr="001A4FD9">
        <w:rPr>
          <w:rFonts w:ascii="Palatino Linotype" w:hAnsi="Palatino Linotype"/>
          <w:b/>
          <w:bCs/>
        </w:rPr>
        <w:t>MAKİNE, EKİPMAN VE UYGULAMA METODOLOJİSİ</w:t>
      </w:r>
    </w:p>
    <w:p w14:paraId="11059B70" w14:textId="77777777" w:rsidR="004133FB" w:rsidRPr="001A4FD9" w:rsidRDefault="004133FB" w:rsidP="004133FB">
      <w:pPr>
        <w:pStyle w:val="ListParagraph"/>
        <w:jc w:val="both"/>
        <w:rPr>
          <w:rFonts w:ascii="Palatino Linotype" w:hAnsi="Palatino Linotype"/>
          <w:b/>
          <w:bCs/>
        </w:rPr>
      </w:pPr>
    </w:p>
    <w:p w14:paraId="4E7843A9" w14:textId="78B7DEC5"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Ekipman Özellikleri</w:t>
      </w:r>
    </w:p>
    <w:p w14:paraId="3218AB33" w14:textId="77777777" w:rsidR="001A4FD9" w:rsidRPr="005860F5" w:rsidRDefault="001A4FD9" w:rsidP="001A4FD9">
      <w:pPr>
        <w:numPr>
          <w:ilvl w:val="0"/>
          <w:numId w:val="18"/>
        </w:numPr>
        <w:jc w:val="both"/>
        <w:rPr>
          <w:rFonts w:ascii="Palatino Linotype" w:hAnsi="Palatino Linotype"/>
        </w:rPr>
      </w:pPr>
      <w:r w:rsidRPr="005860F5">
        <w:rPr>
          <w:rFonts w:ascii="Palatino Linotype" w:hAnsi="Palatino Linotype"/>
          <w:b/>
          <w:bCs/>
        </w:rPr>
        <w:t>Delgi Ekipmanı:</w:t>
      </w:r>
      <w:r w:rsidRPr="005860F5">
        <w:rPr>
          <w:rFonts w:ascii="Palatino Linotype" w:hAnsi="Palatino Linotype"/>
        </w:rPr>
        <w:t xml:space="preserve"> Belirlenen çapta enjeksiyon muhafaza borularını (keson / casing) zemin içinde hedef derinliğe kadar sapmasız sürebilecek güçte paletli hidrolik delgi makineleri kullanılacaktır.</w:t>
      </w:r>
    </w:p>
    <w:p w14:paraId="776C84A3" w14:textId="77777777" w:rsidR="001A4FD9" w:rsidRPr="005860F5" w:rsidRDefault="001A4FD9" w:rsidP="001A4FD9">
      <w:pPr>
        <w:numPr>
          <w:ilvl w:val="0"/>
          <w:numId w:val="18"/>
        </w:numPr>
        <w:jc w:val="both"/>
        <w:rPr>
          <w:rFonts w:ascii="Palatino Linotype" w:hAnsi="Palatino Linotype"/>
        </w:rPr>
      </w:pPr>
      <w:r w:rsidRPr="005860F5">
        <w:rPr>
          <w:rFonts w:ascii="Palatino Linotype" w:hAnsi="Palatino Linotype"/>
          <w:b/>
          <w:bCs/>
        </w:rPr>
        <w:t>Enjeksiyon Pompası:</w:t>
      </w:r>
      <w:r w:rsidRPr="005860F5">
        <w:rPr>
          <w:rFonts w:ascii="Palatino Linotype" w:hAnsi="Palatino Linotype"/>
        </w:rPr>
        <w:t xml:space="preserve"> Çok katı harçları yüksek basınç altında tıkanmadan basabilen, pozitif deplasmanlı, pistonlu özel yüksek basınç harç pompaları kullanılacaktır.</w:t>
      </w:r>
    </w:p>
    <w:p w14:paraId="19295B80" w14:textId="77777777" w:rsidR="001A4FD9" w:rsidRPr="005860F5" w:rsidRDefault="001A4FD9" w:rsidP="001A4FD9">
      <w:pPr>
        <w:numPr>
          <w:ilvl w:val="0"/>
          <w:numId w:val="18"/>
        </w:numPr>
        <w:jc w:val="both"/>
        <w:rPr>
          <w:rFonts w:ascii="Palatino Linotype" w:hAnsi="Palatino Linotype"/>
        </w:rPr>
      </w:pPr>
      <w:r w:rsidRPr="005860F5">
        <w:rPr>
          <w:rFonts w:ascii="Palatino Linotype" w:hAnsi="Palatino Linotype"/>
          <w:b/>
          <w:bCs/>
        </w:rPr>
        <w:t>Ölçüm Sistemleri:</w:t>
      </w:r>
      <w:r w:rsidRPr="005860F5">
        <w:rPr>
          <w:rFonts w:ascii="Palatino Linotype" w:hAnsi="Palatino Linotype"/>
        </w:rPr>
        <w:t xml:space="preserve"> Her kuyuda basılan harç hacmini strok sayacı veya kalibre edilmiş debimetre ile, enjeksiyon basıncını ise hat üzerine monte edilmiş yüksek hassasiyetli manometre / basınç sensörleri (transducer) vasıtasıyla anlık ölçen sistemler bulunacaktır.</w:t>
      </w:r>
    </w:p>
    <w:p w14:paraId="70EBE9C4" w14:textId="563F4710"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Uygulama Yöntemi (Aşağıdan Yukarıya - Bottom-Up)</w:t>
      </w:r>
    </w:p>
    <w:p w14:paraId="62585B85" w14:textId="77777777" w:rsidR="001A4FD9" w:rsidRPr="004133FB" w:rsidRDefault="001A4FD9" w:rsidP="001A4FD9">
      <w:pPr>
        <w:jc w:val="both"/>
        <w:rPr>
          <w:rFonts w:ascii="Palatino Linotype" w:hAnsi="Palatino Linotype"/>
        </w:rPr>
      </w:pPr>
      <w:r w:rsidRPr="004133FB">
        <w:rPr>
          <w:rFonts w:ascii="Palatino Linotype" w:hAnsi="Palatino Linotype"/>
        </w:rPr>
        <w:t>Aksi proje müellifi ve idare tarafından kararlaştırılmadıkça, uygulama Aşağıdan Yukarıya (Bottom-Up) yöntemiyle yapılacaktır:</w:t>
      </w:r>
    </w:p>
    <w:p w14:paraId="72BBFAAB" w14:textId="77777777" w:rsidR="001A4FD9" w:rsidRPr="005860F5" w:rsidRDefault="001A4FD9" w:rsidP="001A4FD9">
      <w:pPr>
        <w:numPr>
          <w:ilvl w:val="0"/>
          <w:numId w:val="19"/>
        </w:numPr>
        <w:jc w:val="both"/>
        <w:rPr>
          <w:rFonts w:ascii="Palatino Linotype" w:hAnsi="Palatino Linotype"/>
        </w:rPr>
      </w:pPr>
      <w:r w:rsidRPr="005860F5">
        <w:rPr>
          <w:rFonts w:ascii="Palatino Linotype" w:hAnsi="Palatino Linotype"/>
        </w:rPr>
        <w:t>Muhafaza borusu delgi makinesi ile hedef derinliğe kadar indirilir.</w:t>
      </w:r>
    </w:p>
    <w:p w14:paraId="308C6DE7" w14:textId="77777777" w:rsidR="001A4FD9" w:rsidRPr="005860F5" w:rsidRDefault="001A4FD9" w:rsidP="001A4FD9">
      <w:pPr>
        <w:numPr>
          <w:ilvl w:val="0"/>
          <w:numId w:val="19"/>
        </w:numPr>
        <w:jc w:val="both"/>
        <w:rPr>
          <w:rFonts w:ascii="Palatino Linotype" w:hAnsi="Palatino Linotype"/>
        </w:rPr>
      </w:pPr>
      <w:r w:rsidRPr="005860F5">
        <w:rPr>
          <w:rFonts w:ascii="Palatino Linotype" w:hAnsi="Palatino Linotype"/>
        </w:rPr>
        <w:t>Çok katı enjeksiyon harcı yüksek basınçla basılmaya başlanır. Basılan harç zemin içinde bir salkım/yumru oluşturarak çevresindeki gevşek zemin katmanlarını radyal olarak iter ve sıkıştırır.</w:t>
      </w:r>
    </w:p>
    <w:p w14:paraId="16611375" w14:textId="77777777" w:rsidR="001A4FD9" w:rsidRPr="005860F5" w:rsidRDefault="001A4FD9" w:rsidP="001A4FD9">
      <w:pPr>
        <w:numPr>
          <w:ilvl w:val="0"/>
          <w:numId w:val="19"/>
        </w:numPr>
        <w:jc w:val="both"/>
        <w:rPr>
          <w:rFonts w:ascii="Palatino Linotype" w:hAnsi="Palatino Linotype"/>
        </w:rPr>
      </w:pPr>
      <w:r w:rsidRPr="005860F5">
        <w:rPr>
          <w:rFonts w:ascii="Palatino Linotype" w:hAnsi="Palatino Linotype"/>
        </w:rPr>
        <w:t xml:space="preserve">Belirlenen </w:t>
      </w:r>
      <w:r w:rsidRPr="004133FB">
        <w:rPr>
          <w:rFonts w:ascii="Palatino Linotype" w:hAnsi="Palatino Linotype"/>
        </w:rPr>
        <w:t>durdurma kriterlerine ulaşıldığında, muhafaza borusu kademeler halinde (her kademe 30 cm ile 50 cm arasında olacak şekilde) yukarı doğru çekilir ve işlem tekrarlanır.</w:t>
      </w:r>
    </w:p>
    <w:p w14:paraId="1F50CA3C" w14:textId="56375C5F"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Enjeksiyon Durdurma Kriterleri</w:t>
      </w:r>
    </w:p>
    <w:p w14:paraId="5E0ED342" w14:textId="77777777" w:rsidR="001A4FD9" w:rsidRPr="004133FB" w:rsidRDefault="001A4FD9" w:rsidP="001A4FD9">
      <w:pPr>
        <w:jc w:val="both"/>
        <w:rPr>
          <w:rFonts w:ascii="Palatino Linotype" w:hAnsi="Palatino Linotype"/>
        </w:rPr>
      </w:pPr>
      <w:r w:rsidRPr="004133FB">
        <w:rPr>
          <w:rFonts w:ascii="Palatino Linotype" w:hAnsi="Palatino Linotype"/>
        </w:rPr>
        <w:t>Her bir kademedeki enjeksiyon işlemi, aşağıdaki üç kriterden herhangi biri gerçekleştiği anda derhal durdurulacaktır:</w:t>
      </w:r>
    </w:p>
    <w:p w14:paraId="79CB66B0" w14:textId="77777777" w:rsidR="001A4FD9" w:rsidRPr="005860F5" w:rsidRDefault="001A4FD9" w:rsidP="001A4FD9">
      <w:pPr>
        <w:numPr>
          <w:ilvl w:val="0"/>
          <w:numId w:val="20"/>
        </w:numPr>
        <w:jc w:val="both"/>
        <w:rPr>
          <w:rFonts w:ascii="Palatino Linotype" w:hAnsi="Palatino Linotype"/>
        </w:rPr>
      </w:pPr>
      <w:r w:rsidRPr="005860F5">
        <w:rPr>
          <w:rFonts w:ascii="Palatino Linotype" w:hAnsi="Palatino Linotype"/>
          <w:b/>
          <w:bCs/>
        </w:rPr>
        <w:lastRenderedPageBreak/>
        <w:t>Maksimum Basınç Kriteri:</w:t>
      </w:r>
      <w:r w:rsidRPr="005860F5">
        <w:rPr>
          <w:rFonts w:ascii="Palatino Linotype" w:hAnsi="Palatino Linotype"/>
        </w:rPr>
        <w:t xml:space="preserve"> Hat içi </w:t>
      </w:r>
      <w:r w:rsidRPr="004133FB">
        <w:rPr>
          <w:rFonts w:ascii="Palatino Linotype" w:hAnsi="Palatino Linotype"/>
        </w:rPr>
        <w:t>enjeksiyon basıncının zemin derinliğine bağlı olarak belirlenen limit değere (genellikle 20 - 40 bar arasına) ulaşması.</w:t>
      </w:r>
    </w:p>
    <w:p w14:paraId="0B2F545E" w14:textId="77777777" w:rsidR="001A4FD9" w:rsidRPr="005860F5" w:rsidRDefault="001A4FD9" w:rsidP="001A4FD9">
      <w:pPr>
        <w:numPr>
          <w:ilvl w:val="0"/>
          <w:numId w:val="20"/>
        </w:numPr>
        <w:jc w:val="both"/>
        <w:rPr>
          <w:rFonts w:ascii="Palatino Linotype" w:hAnsi="Palatino Linotype"/>
        </w:rPr>
      </w:pPr>
      <w:r w:rsidRPr="005860F5">
        <w:rPr>
          <w:rFonts w:ascii="Palatino Linotype" w:hAnsi="Palatino Linotype"/>
          <w:b/>
          <w:bCs/>
        </w:rPr>
        <w:t>Maksimum Hacim Kriteri:</w:t>
      </w:r>
      <w:r w:rsidRPr="005860F5">
        <w:rPr>
          <w:rFonts w:ascii="Palatino Linotype" w:hAnsi="Palatino Linotype"/>
        </w:rPr>
        <w:t xml:space="preserve"> Kademe başına projesinde öngörülen hedef harç hacminin (örneğin kademe başına 0.15 - 0.30 m³) doldurulmuş olması.</w:t>
      </w:r>
    </w:p>
    <w:p w14:paraId="31C45950" w14:textId="77777777" w:rsidR="001A4FD9" w:rsidRPr="005860F5" w:rsidRDefault="001A4FD9" w:rsidP="001A4FD9">
      <w:pPr>
        <w:numPr>
          <w:ilvl w:val="0"/>
          <w:numId w:val="20"/>
        </w:numPr>
        <w:jc w:val="both"/>
        <w:rPr>
          <w:rFonts w:ascii="Palatino Linotype" w:hAnsi="Palatino Linotype"/>
        </w:rPr>
      </w:pPr>
      <w:r w:rsidRPr="005860F5">
        <w:rPr>
          <w:rFonts w:ascii="Palatino Linotype" w:hAnsi="Palatino Linotype"/>
          <w:b/>
          <w:bCs/>
        </w:rPr>
        <w:t>Mevcut Yapıda Deformasyon / Kabarma Kriteri:</w:t>
      </w:r>
      <w:r w:rsidRPr="005860F5">
        <w:rPr>
          <w:rFonts w:ascii="Palatino Linotype" w:hAnsi="Palatino Linotype"/>
        </w:rPr>
        <w:t xml:space="preserve"> Temelde veya zemin yüzeyinde milimetrik de olsa bir kabarma (heave) veya deplasman hareketinin başlaması.</w:t>
      </w:r>
    </w:p>
    <w:p w14:paraId="5D781C47" w14:textId="77777777" w:rsidR="00511260" w:rsidRDefault="001A4FD9" w:rsidP="001A4FD9">
      <w:pPr>
        <w:jc w:val="both"/>
        <w:rPr>
          <w:rFonts w:ascii="Palatino Linotype" w:hAnsi="Palatino Linotype"/>
        </w:rPr>
      </w:pPr>
      <w:r w:rsidRPr="005860F5">
        <w:rPr>
          <w:rFonts w:ascii="Palatino Linotype" w:hAnsi="Palatino Linotype"/>
          <w:b/>
          <w:bCs/>
        </w:rPr>
        <w:t>KRİTİK UYARI: DEFORMASYON TAKİBİ VE ŞANTİYE GÜVENLİĞİ</w:t>
      </w:r>
      <w:r w:rsidRPr="005860F5">
        <w:rPr>
          <w:rFonts w:ascii="Palatino Linotype" w:hAnsi="Palatino Linotype"/>
        </w:rPr>
        <w:t xml:space="preserve"> </w:t>
      </w:r>
    </w:p>
    <w:p w14:paraId="54A3309F" w14:textId="1C3FFB58" w:rsidR="001A4FD9" w:rsidRPr="005860F5" w:rsidRDefault="00511260" w:rsidP="001A4FD9">
      <w:pPr>
        <w:jc w:val="both"/>
        <w:rPr>
          <w:rFonts w:ascii="Palatino Linotype" w:hAnsi="Palatino Linotype"/>
        </w:rPr>
      </w:pPr>
      <w:r>
        <w:rPr>
          <w:rFonts w:ascii="Palatino Linotype" w:hAnsi="Palatino Linotype"/>
        </w:rPr>
        <w:t>Bu uygulama esnasında e</w:t>
      </w:r>
      <w:r w:rsidRPr="004B527B">
        <w:rPr>
          <w:rFonts w:ascii="Palatino Linotype" w:hAnsi="Palatino Linotype"/>
        </w:rPr>
        <w:t>njeksiyon çalışmasının temel altında</w:t>
      </w:r>
      <w:r>
        <w:rPr>
          <w:rFonts w:ascii="Palatino Linotype" w:hAnsi="Palatino Linotype"/>
        </w:rPr>
        <w:t xml:space="preserve"> belirlenen bu hedef derinlikteki zeminlere uygulanmasına dikkat edilmelidir ve </w:t>
      </w:r>
      <w:r w:rsidRPr="0008211C">
        <w:rPr>
          <w:rFonts w:ascii="Palatino Linotype" w:hAnsi="Palatino Linotype"/>
        </w:rPr>
        <w:t>sürekli</w:t>
      </w:r>
      <w:r w:rsidRPr="004B527B">
        <w:rPr>
          <w:rFonts w:ascii="Palatino Linotype" w:hAnsi="Palatino Linotype"/>
        </w:rPr>
        <w:t xml:space="preserve"> olarak izleme </w:t>
      </w:r>
      <w:r>
        <w:rPr>
          <w:rFonts w:ascii="Palatino Linotype" w:hAnsi="Palatino Linotype"/>
        </w:rPr>
        <w:t xml:space="preserve">(monitoring) </w:t>
      </w:r>
      <w:r w:rsidRPr="004B527B">
        <w:rPr>
          <w:rFonts w:ascii="Palatino Linotype" w:hAnsi="Palatino Linotype"/>
        </w:rPr>
        <w:t>yapılması çok önemlidir</w:t>
      </w:r>
      <w:r>
        <w:rPr>
          <w:rFonts w:ascii="Palatino Linotype" w:hAnsi="Palatino Linotype"/>
        </w:rPr>
        <w:t xml:space="preserve">. </w:t>
      </w:r>
      <w:r w:rsidR="001A4FD9" w:rsidRPr="005860F5">
        <w:rPr>
          <w:rFonts w:ascii="Palatino Linotype" w:hAnsi="Palatino Linotype"/>
        </w:rPr>
        <w:t xml:space="preserve">Kompaksiyon enjeksiyonu basınçla ve çok katı harçla yapıldığı için mevcut radye temelde yukarı yönlü kabarmalara (heave) neden olabilir. Enjeksiyon esnasında mevcut TÜRASAŞ Misafirhanesi binasının dilatasyon noktalarına ve dış cephesine </w:t>
      </w:r>
      <w:r w:rsidR="001A4FD9" w:rsidRPr="005860F5">
        <w:rPr>
          <w:rFonts w:ascii="Palatino Linotype" w:hAnsi="Palatino Linotype"/>
          <w:b/>
          <w:bCs/>
        </w:rPr>
        <w:t>Reflektör / Tiltmetre</w:t>
      </w:r>
      <w:r w:rsidR="001A4FD9" w:rsidRPr="005860F5">
        <w:rPr>
          <w:rFonts w:ascii="Palatino Linotype" w:hAnsi="Palatino Linotype"/>
        </w:rPr>
        <w:t xml:space="preserve"> yerleştirilerek milimetrik hassasiyetle uygulama boyunca izlenmesi şantiye güvenliği için zorunludur. Yapının taşıyıcı sisteminde veya temelde herhangi bir mikron düzeyinde deformasyon/kabarma gözlemlenmesi durumunda çalışmalar </w:t>
      </w:r>
      <w:r w:rsidR="001A4FD9" w:rsidRPr="005860F5">
        <w:rPr>
          <w:rFonts w:ascii="Palatino Linotype" w:hAnsi="Palatino Linotype"/>
          <w:b/>
          <w:bCs/>
        </w:rPr>
        <w:t>derhal durdurulmalı</w:t>
      </w:r>
      <w:r w:rsidR="001A4FD9" w:rsidRPr="005860F5">
        <w:rPr>
          <w:rFonts w:ascii="Palatino Linotype" w:hAnsi="Palatino Linotype"/>
        </w:rPr>
        <w:t xml:space="preserve"> ve proje müellifi ivedilikle bilgilendirilmelidir.</w:t>
      </w:r>
    </w:p>
    <w:p w14:paraId="2E0B8332" w14:textId="4744A604" w:rsidR="001A4FD9" w:rsidRPr="001A4FD9" w:rsidRDefault="001A4FD9" w:rsidP="001A4FD9">
      <w:pPr>
        <w:pStyle w:val="ListParagraph"/>
        <w:numPr>
          <w:ilvl w:val="0"/>
          <w:numId w:val="24"/>
        </w:numPr>
        <w:jc w:val="both"/>
        <w:rPr>
          <w:rFonts w:ascii="Palatino Linotype" w:hAnsi="Palatino Linotype"/>
          <w:b/>
          <w:bCs/>
        </w:rPr>
      </w:pPr>
      <w:r w:rsidRPr="001A4FD9">
        <w:rPr>
          <w:rFonts w:ascii="Palatino Linotype" w:hAnsi="Palatino Linotype"/>
          <w:b/>
          <w:bCs/>
        </w:rPr>
        <w:t>KALİTE KONTROL, TESTLER VE KABUL KRİTERLERİ</w:t>
      </w:r>
    </w:p>
    <w:p w14:paraId="6B6FECB1" w14:textId="219AF9B3"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Taze ve Sertleşmiş Harç Testleri</w:t>
      </w:r>
    </w:p>
    <w:p w14:paraId="4AD64BE3" w14:textId="77777777" w:rsidR="001A4FD9" w:rsidRPr="005860F5" w:rsidRDefault="001A4FD9" w:rsidP="001A4FD9">
      <w:pPr>
        <w:numPr>
          <w:ilvl w:val="0"/>
          <w:numId w:val="21"/>
        </w:numPr>
        <w:jc w:val="both"/>
        <w:rPr>
          <w:rFonts w:ascii="Palatino Linotype" w:hAnsi="Palatino Linotype"/>
        </w:rPr>
      </w:pPr>
      <w:r w:rsidRPr="005860F5">
        <w:rPr>
          <w:rFonts w:ascii="Palatino Linotype" w:hAnsi="Palatino Linotype"/>
          <w:b/>
          <w:bCs/>
        </w:rPr>
        <w:t>Slump Testi:</w:t>
      </w:r>
      <w:r w:rsidRPr="005860F5">
        <w:rPr>
          <w:rFonts w:ascii="Palatino Linotype" w:hAnsi="Palatino Linotype"/>
        </w:rPr>
        <w:t xml:space="preserve"> Her enjeksiyon mikseri/kamyonu bazında veya her iş gününde en az 3 defa pompa çıkışından numune alınarak slump testi yapılacak ve kayıt altına alınacaktır.</w:t>
      </w:r>
    </w:p>
    <w:p w14:paraId="1A2A1789" w14:textId="77777777" w:rsidR="001A4FD9" w:rsidRPr="005860F5" w:rsidRDefault="001A4FD9" w:rsidP="001A4FD9">
      <w:pPr>
        <w:numPr>
          <w:ilvl w:val="0"/>
          <w:numId w:val="21"/>
        </w:numPr>
        <w:jc w:val="both"/>
        <w:rPr>
          <w:rFonts w:ascii="Palatino Linotype" w:hAnsi="Palatino Linotype"/>
        </w:rPr>
      </w:pPr>
      <w:r w:rsidRPr="005860F5">
        <w:rPr>
          <w:rFonts w:ascii="Palatino Linotype" w:hAnsi="Palatino Linotype"/>
          <w:b/>
          <w:bCs/>
        </w:rPr>
        <w:t>Basınç Dayanımı Testi:</w:t>
      </w:r>
      <w:r w:rsidRPr="005860F5">
        <w:rPr>
          <w:rFonts w:ascii="Palatino Linotype" w:hAnsi="Palatino Linotype"/>
        </w:rPr>
        <w:t xml:space="preserve"> Her 100 m³ enjeksiyon harcı üretiminden veya haftada en az iki kez küp numuneler alınarak 7. ve 28. gün serbest basınç mukavemetleri laboratuvarda test edilecektir.</w:t>
      </w:r>
    </w:p>
    <w:p w14:paraId="6B5524DA" w14:textId="5130B559" w:rsidR="001A4FD9" w:rsidRPr="001A4FD9" w:rsidRDefault="001A4FD9" w:rsidP="001A4FD9">
      <w:pPr>
        <w:pStyle w:val="ListParagraph"/>
        <w:numPr>
          <w:ilvl w:val="1"/>
          <w:numId w:val="24"/>
        </w:numPr>
        <w:jc w:val="both"/>
        <w:rPr>
          <w:rFonts w:ascii="Palatino Linotype" w:hAnsi="Palatino Linotype"/>
          <w:b/>
          <w:bCs/>
        </w:rPr>
      </w:pPr>
      <w:r w:rsidRPr="001A4FD9">
        <w:rPr>
          <w:rFonts w:ascii="Palatino Linotype" w:hAnsi="Palatino Linotype"/>
          <w:b/>
          <w:bCs/>
        </w:rPr>
        <w:t>İmalat Sonrası Doğrulama Testleri</w:t>
      </w:r>
    </w:p>
    <w:p w14:paraId="308C4B89" w14:textId="77777777" w:rsidR="001A4FD9" w:rsidRPr="005860F5" w:rsidRDefault="001A4FD9" w:rsidP="001A4FD9">
      <w:pPr>
        <w:jc w:val="both"/>
        <w:rPr>
          <w:rFonts w:ascii="Palatino Linotype" w:hAnsi="Palatino Linotype"/>
        </w:rPr>
      </w:pPr>
      <w:r w:rsidRPr="005860F5">
        <w:rPr>
          <w:rFonts w:ascii="Palatino Linotype" w:hAnsi="Palatino Linotype"/>
        </w:rPr>
        <w:t>Kompaksiyon enjeksiyonu uygulaması sonrasında, karelajın ve enjeksiyonun etkinliğini, zemin sıkılığındaki artışı kontrol etmek amacıyla idarenin belirleyeceği lokasyonlarda karelaj merkezlerinde aşağıdaki testler yapılacaktır:</w:t>
      </w:r>
    </w:p>
    <w:p w14:paraId="113A9E84" w14:textId="66FE25C3" w:rsidR="001A4FD9" w:rsidRDefault="001A4FD9" w:rsidP="001A4FD9">
      <w:pPr>
        <w:numPr>
          <w:ilvl w:val="0"/>
          <w:numId w:val="22"/>
        </w:numPr>
        <w:jc w:val="both"/>
        <w:rPr>
          <w:rFonts w:ascii="Palatino Linotype" w:hAnsi="Palatino Linotype"/>
        </w:rPr>
      </w:pPr>
      <w:r w:rsidRPr="005860F5">
        <w:rPr>
          <w:rFonts w:ascii="Palatino Linotype" w:hAnsi="Palatino Linotype"/>
          <w:b/>
          <w:bCs/>
        </w:rPr>
        <w:lastRenderedPageBreak/>
        <w:t>Penetrasyon Testleri (SPT):</w:t>
      </w:r>
      <w:r w:rsidRPr="005860F5">
        <w:rPr>
          <w:rFonts w:ascii="Palatino Linotype" w:hAnsi="Palatino Linotype"/>
        </w:rPr>
        <w:t xml:space="preserve"> Uygulama öncesi ve sonrasındaki zemin mukavemet artışını kıyaslamak üzere enjeksiyon bitiminden en az 7-14 gün sonra kontrol sondajları ve penetrasyon testleri gerçekleştirilecektir. </w:t>
      </w:r>
    </w:p>
    <w:p w14:paraId="21536F5C" w14:textId="7694D45C" w:rsidR="004133FB" w:rsidRDefault="004133FB" w:rsidP="001A4FD9">
      <w:pPr>
        <w:numPr>
          <w:ilvl w:val="0"/>
          <w:numId w:val="22"/>
        </w:numPr>
        <w:jc w:val="both"/>
        <w:rPr>
          <w:rFonts w:ascii="Palatino Linotype" w:hAnsi="Palatino Linotype"/>
        </w:rPr>
      </w:pPr>
      <w:r>
        <w:rPr>
          <w:rFonts w:ascii="Palatino Linotype" w:hAnsi="Palatino Linotype"/>
          <w:b/>
          <w:bCs/>
        </w:rPr>
        <w:t>Jeofizik Testler :</w:t>
      </w:r>
      <w:r>
        <w:rPr>
          <w:rFonts w:ascii="Palatino Linotype" w:hAnsi="Palatino Linotype"/>
        </w:rPr>
        <w:t xml:space="preserve"> </w:t>
      </w:r>
      <w:r w:rsidRPr="003869D8">
        <w:rPr>
          <w:rFonts w:ascii="Palatino Linotype" w:hAnsi="Palatino Linotype"/>
        </w:rPr>
        <w:t>Jeofizik ölçümler, jeolojik araştırmalar ile desteklenmeli ve tüm araştırma sonuçları iyileştirmenin başarılı olduğunu teyit etmelidir.</w:t>
      </w:r>
      <w:r>
        <w:rPr>
          <w:rFonts w:ascii="Palatino Linotype" w:hAnsi="Palatino Linotype"/>
        </w:rPr>
        <w:t xml:space="preserve"> Jeofizik ölçümler için </w:t>
      </w:r>
      <w:r w:rsidR="00EC012C">
        <w:rPr>
          <w:rFonts w:ascii="Palatino Linotype" w:hAnsi="Palatino Linotype"/>
        </w:rPr>
        <w:t xml:space="preserve">tahribatsız </w:t>
      </w:r>
      <w:r w:rsidR="00D510F5">
        <w:rPr>
          <w:rFonts w:ascii="Palatino Linotype" w:hAnsi="Palatino Linotype"/>
        </w:rPr>
        <w:t xml:space="preserve">aktif yüzey dalgası </w:t>
      </w:r>
      <w:r>
        <w:rPr>
          <w:rFonts w:ascii="Palatino Linotype" w:hAnsi="Palatino Linotype"/>
        </w:rPr>
        <w:t>MASW ve</w:t>
      </w:r>
      <w:r w:rsidR="00511260">
        <w:rPr>
          <w:rFonts w:ascii="Palatino Linotype" w:hAnsi="Palatino Linotype"/>
        </w:rPr>
        <w:t>ya</w:t>
      </w:r>
      <w:r>
        <w:rPr>
          <w:rFonts w:ascii="Palatino Linotype" w:hAnsi="Palatino Linotype"/>
        </w:rPr>
        <w:t xml:space="preserve"> </w:t>
      </w:r>
      <w:r w:rsidR="00EC012C">
        <w:rPr>
          <w:rFonts w:ascii="Palatino Linotype" w:hAnsi="Palatino Linotype"/>
        </w:rPr>
        <w:t xml:space="preserve">Georadar (GPR) </w:t>
      </w:r>
      <w:r w:rsidR="00D510F5">
        <w:rPr>
          <w:rFonts w:ascii="Palatino Linotype" w:hAnsi="Palatino Linotype"/>
        </w:rPr>
        <w:t xml:space="preserve">ölçüm yöntemleri </w:t>
      </w:r>
      <w:r>
        <w:rPr>
          <w:rFonts w:ascii="Palatino Linotype" w:hAnsi="Palatino Linotype"/>
        </w:rPr>
        <w:t>önerilmektedir.</w:t>
      </w:r>
    </w:p>
    <w:p w14:paraId="186A8194" w14:textId="237FB5BC" w:rsidR="001A4FD9" w:rsidRPr="001A4FD9" w:rsidRDefault="001A4FD9" w:rsidP="001A4FD9">
      <w:pPr>
        <w:pStyle w:val="ListParagraph"/>
        <w:numPr>
          <w:ilvl w:val="0"/>
          <w:numId w:val="24"/>
        </w:numPr>
        <w:jc w:val="both"/>
        <w:rPr>
          <w:rFonts w:ascii="Palatino Linotype" w:hAnsi="Palatino Linotype"/>
          <w:b/>
          <w:bCs/>
        </w:rPr>
      </w:pPr>
      <w:r w:rsidRPr="001A4FD9">
        <w:rPr>
          <w:rFonts w:ascii="Palatino Linotype" w:hAnsi="Palatino Linotype"/>
          <w:b/>
          <w:bCs/>
        </w:rPr>
        <w:t>ÖLÇÜMLENDİRME VE ÖDEME ESASLARI</w:t>
      </w:r>
    </w:p>
    <w:p w14:paraId="76203E6B" w14:textId="77777777" w:rsidR="001A4FD9" w:rsidRPr="005860F5" w:rsidRDefault="001A4FD9" w:rsidP="001A4FD9">
      <w:pPr>
        <w:numPr>
          <w:ilvl w:val="0"/>
          <w:numId w:val="23"/>
        </w:numPr>
        <w:jc w:val="both"/>
        <w:rPr>
          <w:rFonts w:ascii="Palatino Linotype" w:hAnsi="Palatino Linotype"/>
        </w:rPr>
      </w:pPr>
      <w:r w:rsidRPr="005860F5">
        <w:rPr>
          <w:rFonts w:ascii="Palatino Linotype" w:hAnsi="Palatino Linotype"/>
          <w:b/>
          <w:bCs/>
        </w:rPr>
        <w:t>Ölçüm Birimi:</w:t>
      </w:r>
      <w:r w:rsidRPr="005860F5">
        <w:rPr>
          <w:rFonts w:ascii="Palatino Linotype" w:hAnsi="Palatino Linotype"/>
        </w:rPr>
        <w:t xml:space="preserve"> Kompaksiyon enjeksiyonu işleri, sahada hazırlanan ve kuyu içerisine fiilen basılan onaylı </w:t>
      </w:r>
      <w:r w:rsidRPr="005860F5">
        <w:rPr>
          <w:rFonts w:ascii="Palatino Linotype" w:hAnsi="Palatino Linotype"/>
          <w:b/>
          <w:bCs/>
        </w:rPr>
        <w:t>Metreküp (m³)</w:t>
      </w:r>
      <w:r w:rsidRPr="005860F5">
        <w:rPr>
          <w:rFonts w:ascii="Palatino Linotype" w:hAnsi="Palatino Linotype"/>
        </w:rPr>
        <w:t xml:space="preserve"> harç hacmi ile delinen fiili </w:t>
      </w:r>
      <w:r w:rsidRPr="005860F5">
        <w:rPr>
          <w:rFonts w:ascii="Palatino Linotype" w:hAnsi="Palatino Linotype"/>
          <w:b/>
          <w:bCs/>
        </w:rPr>
        <w:t>Metretül (m)</w:t>
      </w:r>
      <w:r w:rsidRPr="005860F5">
        <w:rPr>
          <w:rFonts w:ascii="Palatino Linotype" w:hAnsi="Palatino Linotype"/>
        </w:rPr>
        <w:t xml:space="preserve"> delgi boyu üzerinden iki ayrı kalem olarak veya projesine göre doğrulanmış birim fiyattan ödenir.</w:t>
      </w:r>
    </w:p>
    <w:p w14:paraId="4E0778F8" w14:textId="77777777" w:rsidR="001A4FD9" w:rsidRPr="005860F5" w:rsidRDefault="001A4FD9" w:rsidP="001A4FD9">
      <w:pPr>
        <w:numPr>
          <w:ilvl w:val="0"/>
          <w:numId w:val="23"/>
        </w:numPr>
        <w:jc w:val="both"/>
        <w:rPr>
          <w:rFonts w:ascii="Palatino Linotype" w:hAnsi="Palatino Linotype"/>
        </w:rPr>
      </w:pPr>
      <w:r w:rsidRPr="005860F5">
        <w:rPr>
          <w:rFonts w:ascii="Palatino Linotype" w:hAnsi="Palatino Linotype"/>
          <w:b/>
          <w:bCs/>
        </w:rPr>
        <w:t>Fiyata Dahil Unsurlar:</w:t>
      </w:r>
      <w:r w:rsidRPr="005860F5">
        <w:rPr>
          <w:rFonts w:ascii="Palatino Linotype" w:hAnsi="Palatino Linotype"/>
        </w:rPr>
        <w:t xml:space="preserve"> Delgi işleri, muhafaza borusu çakılması ve çekilmesi, çimento, agrega ve katkı malzemeleri temini, harç hazırlanması ve yüksek basınçla basılması, data-logger/manometre kayıtları, slump ve basınç testleri ile şartnamede belirtilen tiltmetre/reflektörle bina deformasyon izleme sistemlerinin kurulması ve takibi maliyetleri birim fiyata dahildir. Yerinde imal edilmeyen veya kriterlere uymadığı için reddedilen kuyular için herhangi bir ödeme yapılmaz.</w:t>
      </w:r>
    </w:p>
    <w:p w14:paraId="38811C7A" w14:textId="77777777" w:rsidR="00CB65FC" w:rsidRPr="00D96093" w:rsidRDefault="00CB65FC" w:rsidP="00D96093">
      <w:pPr>
        <w:jc w:val="both"/>
        <w:rPr>
          <w:rFonts w:ascii="Palatino Linotype" w:hAnsi="Palatino Linotype"/>
        </w:rPr>
      </w:pPr>
    </w:p>
    <w:sectPr w:rsidR="00CB65FC" w:rsidRPr="00D96093" w:rsidSect="00B416B1">
      <w:headerReference w:type="default" r:id="rId9"/>
      <w:pgSz w:w="11906" w:h="16838"/>
      <w:pgMar w:top="184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106ED" w14:textId="77777777" w:rsidR="00231875" w:rsidRDefault="00231875" w:rsidP="00E40244">
      <w:pPr>
        <w:spacing w:after="0" w:line="240" w:lineRule="auto"/>
      </w:pPr>
      <w:r>
        <w:separator/>
      </w:r>
    </w:p>
  </w:endnote>
  <w:endnote w:type="continuationSeparator" w:id="0">
    <w:p w14:paraId="24BD61BA" w14:textId="77777777" w:rsidR="00231875" w:rsidRDefault="00231875" w:rsidP="00E40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A2"/>
    <w:family w:val="swiss"/>
    <w:pitch w:val="variable"/>
    <w:sig w:usb0="E4002EFF" w:usb1="C000E47F"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F5EED" w14:textId="77777777" w:rsidR="00231875" w:rsidRDefault="00231875" w:rsidP="00E40244">
      <w:pPr>
        <w:spacing w:after="0" w:line="240" w:lineRule="auto"/>
      </w:pPr>
      <w:r>
        <w:separator/>
      </w:r>
    </w:p>
  </w:footnote>
  <w:footnote w:type="continuationSeparator" w:id="0">
    <w:p w14:paraId="71D45F07" w14:textId="77777777" w:rsidR="00231875" w:rsidRDefault="00231875" w:rsidP="00E40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60C16" w14:textId="1ACCBD14" w:rsidR="00E40244" w:rsidRDefault="00E40244">
    <w:pPr>
      <w:pStyle w:val="Header"/>
    </w:pPr>
    <w:r>
      <w:rPr>
        <w:noProof/>
        <w:lang w:val="en-US" w:eastAsia="en-US"/>
      </w:rPr>
      <w:drawing>
        <wp:inline distT="0" distB="0" distL="0" distR="0" wp14:anchorId="56432FEB" wp14:editId="6A92227C">
          <wp:extent cx="1380598" cy="254602"/>
          <wp:effectExtent l="0" t="0" r="0" b="0"/>
          <wp:docPr id="424851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1050" cy="273127"/>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5979F61" wp14:editId="04CA457A">
          <wp:extent cx="910228" cy="418213"/>
          <wp:effectExtent l="0" t="0" r="4445" b="1270"/>
          <wp:docPr id="460949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732414" name=""/>
                  <pic:cNvPicPr/>
                </pic:nvPicPr>
                <pic:blipFill>
                  <a:blip r:embed="rId2"/>
                  <a:stretch>
                    <a:fillRect/>
                  </a:stretch>
                </pic:blipFill>
                <pic:spPr>
                  <a:xfrm>
                    <a:off x="0" y="0"/>
                    <a:ext cx="917674" cy="421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2918"/>
    <w:multiLevelType w:val="multilevel"/>
    <w:tmpl w:val="5840F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F0560"/>
    <w:multiLevelType w:val="multilevel"/>
    <w:tmpl w:val="E3D0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0B275B"/>
    <w:multiLevelType w:val="multilevel"/>
    <w:tmpl w:val="318A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3253D1"/>
    <w:multiLevelType w:val="multilevel"/>
    <w:tmpl w:val="92B6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8A748A"/>
    <w:multiLevelType w:val="multilevel"/>
    <w:tmpl w:val="6656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5A0C8D"/>
    <w:multiLevelType w:val="multilevel"/>
    <w:tmpl w:val="7CB6C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2542A9"/>
    <w:multiLevelType w:val="multilevel"/>
    <w:tmpl w:val="11347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446EC2"/>
    <w:multiLevelType w:val="multilevel"/>
    <w:tmpl w:val="C32CF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131CF0"/>
    <w:multiLevelType w:val="multilevel"/>
    <w:tmpl w:val="937A5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951DBE"/>
    <w:multiLevelType w:val="multilevel"/>
    <w:tmpl w:val="5D62E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564B2"/>
    <w:multiLevelType w:val="multilevel"/>
    <w:tmpl w:val="8584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3E3E74"/>
    <w:multiLevelType w:val="multilevel"/>
    <w:tmpl w:val="63A0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0E7FAC"/>
    <w:multiLevelType w:val="multilevel"/>
    <w:tmpl w:val="913E7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633ECA"/>
    <w:multiLevelType w:val="multilevel"/>
    <w:tmpl w:val="19C0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BC4D07"/>
    <w:multiLevelType w:val="multilevel"/>
    <w:tmpl w:val="B1B4D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C06367"/>
    <w:multiLevelType w:val="multilevel"/>
    <w:tmpl w:val="3B1027E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926F6C"/>
    <w:multiLevelType w:val="multilevel"/>
    <w:tmpl w:val="9DD2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3A4680"/>
    <w:multiLevelType w:val="multilevel"/>
    <w:tmpl w:val="D7CE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2A3C1E"/>
    <w:multiLevelType w:val="multilevel"/>
    <w:tmpl w:val="1160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612883"/>
    <w:multiLevelType w:val="multilevel"/>
    <w:tmpl w:val="DA3E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22255D"/>
    <w:multiLevelType w:val="multilevel"/>
    <w:tmpl w:val="3A7E8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113C4A"/>
    <w:multiLevelType w:val="multilevel"/>
    <w:tmpl w:val="2FC28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C3037"/>
    <w:multiLevelType w:val="multilevel"/>
    <w:tmpl w:val="EDCE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84676B"/>
    <w:multiLevelType w:val="multilevel"/>
    <w:tmpl w:val="A512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0531722">
    <w:abstractNumId w:val="23"/>
  </w:num>
  <w:num w:numId="2" w16cid:durableId="445126274">
    <w:abstractNumId w:val="0"/>
  </w:num>
  <w:num w:numId="3" w16cid:durableId="1922256333">
    <w:abstractNumId w:val="12"/>
  </w:num>
  <w:num w:numId="4" w16cid:durableId="604727959">
    <w:abstractNumId w:val="11"/>
  </w:num>
  <w:num w:numId="5" w16cid:durableId="1209295922">
    <w:abstractNumId w:val="14"/>
  </w:num>
  <w:num w:numId="6" w16cid:durableId="1829516207">
    <w:abstractNumId w:val="5"/>
  </w:num>
  <w:num w:numId="7" w16cid:durableId="655495396">
    <w:abstractNumId w:val="20"/>
  </w:num>
  <w:num w:numId="8" w16cid:durableId="1786609276">
    <w:abstractNumId w:val="1"/>
  </w:num>
  <w:num w:numId="9" w16cid:durableId="345906708">
    <w:abstractNumId w:val="19"/>
  </w:num>
  <w:num w:numId="10" w16cid:durableId="27604006">
    <w:abstractNumId w:val="3"/>
  </w:num>
  <w:num w:numId="11" w16cid:durableId="2012373285">
    <w:abstractNumId w:val="17"/>
  </w:num>
  <w:num w:numId="12" w16cid:durableId="1435976076">
    <w:abstractNumId w:val="10"/>
  </w:num>
  <w:num w:numId="13" w16cid:durableId="172309556">
    <w:abstractNumId w:val="4"/>
  </w:num>
  <w:num w:numId="14" w16cid:durableId="806355966">
    <w:abstractNumId w:val="13"/>
  </w:num>
  <w:num w:numId="15" w16cid:durableId="718437605">
    <w:abstractNumId w:val="22"/>
  </w:num>
  <w:num w:numId="16" w16cid:durableId="46270979">
    <w:abstractNumId w:val="18"/>
  </w:num>
  <w:num w:numId="17" w16cid:durableId="2136832101">
    <w:abstractNumId w:val="16"/>
  </w:num>
  <w:num w:numId="18" w16cid:durableId="305168300">
    <w:abstractNumId w:val="6"/>
  </w:num>
  <w:num w:numId="19" w16cid:durableId="1991598533">
    <w:abstractNumId w:val="7"/>
  </w:num>
  <w:num w:numId="20" w16cid:durableId="101386078">
    <w:abstractNumId w:val="9"/>
  </w:num>
  <w:num w:numId="21" w16cid:durableId="1897155479">
    <w:abstractNumId w:val="2"/>
  </w:num>
  <w:num w:numId="22" w16cid:durableId="791364570">
    <w:abstractNumId w:val="8"/>
  </w:num>
  <w:num w:numId="23" w16cid:durableId="594364193">
    <w:abstractNumId w:val="21"/>
  </w:num>
  <w:num w:numId="24" w16cid:durableId="1367410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3"/>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6A1"/>
    <w:rsid w:val="0007165F"/>
    <w:rsid w:val="00081785"/>
    <w:rsid w:val="000B6714"/>
    <w:rsid w:val="000F1E7F"/>
    <w:rsid w:val="00110FB3"/>
    <w:rsid w:val="001A4FD9"/>
    <w:rsid w:val="001C17D5"/>
    <w:rsid w:val="001D5F7E"/>
    <w:rsid w:val="001E2E39"/>
    <w:rsid w:val="00231875"/>
    <w:rsid w:val="00233D15"/>
    <w:rsid w:val="002D26A1"/>
    <w:rsid w:val="004133FB"/>
    <w:rsid w:val="00497CDB"/>
    <w:rsid w:val="00511260"/>
    <w:rsid w:val="00547A99"/>
    <w:rsid w:val="006A448A"/>
    <w:rsid w:val="0084541D"/>
    <w:rsid w:val="008F6417"/>
    <w:rsid w:val="00A376C5"/>
    <w:rsid w:val="00A968FA"/>
    <w:rsid w:val="00B179D9"/>
    <w:rsid w:val="00B416B1"/>
    <w:rsid w:val="00BC2755"/>
    <w:rsid w:val="00BC2F0D"/>
    <w:rsid w:val="00CB65FC"/>
    <w:rsid w:val="00D05B18"/>
    <w:rsid w:val="00D35D53"/>
    <w:rsid w:val="00D510F5"/>
    <w:rsid w:val="00D96093"/>
    <w:rsid w:val="00E40244"/>
    <w:rsid w:val="00E75400"/>
    <w:rsid w:val="00EB2A36"/>
    <w:rsid w:val="00EC012C"/>
    <w:rsid w:val="00EC5E1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CB0D0"/>
  <w15:chartTrackingRefBased/>
  <w15:docId w15:val="{3358E6F3-F964-48EC-9658-48629BBC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5FC"/>
  </w:style>
  <w:style w:type="paragraph" w:styleId="Heading1">
    <w:name w:val="heading 1"/>
    <w:basedOn w:val="Normal"/>
    <w:next w:val="Normal"/>
    <w:link w:val="Heading1Char"/>
    <w:uiPriority w:val="9"/>
    <w:qFormat/>
    <w:rsid w:val="00CB65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B65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B65F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B65F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B65F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B65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65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65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65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5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B65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B65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B65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B65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B65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5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5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5FC"/>
    <w:rPr>
      <w:rFonts w:eastAsiaTheme="majorEastAsia" w:cstheme="majorBidi"/>
      <w:color w:val="272727" w:themeColor="text1" w:themeTint="D8"/>
    </w:rPr>
  </w:style>
  <w:style w:type="paragraph" w:styleId="Title">
    <w:name w:val="Title"/>
    <w:basedOn w:val="Normal"/>
    <w:next w:val="Normal"/>
    <w:link w:val="TitleChar"/>
    <w:uiPriority w:val="10"/>
    <w:qFormat/>
    <w:rsid w:val="00CB65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5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5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5FC"/>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CB65FC"/>
    <w:pPr>
      <w:ind w:left="720"/>
      <w:contextualSpacing/>
    </w:pPr>
  </w:style>
  <w:style w:type="paragraph" w:styleId="Quote">
    <w:name w:val="Quote"/>
    <w:basedOn w:val="Normal"/>
    <w:next w:val="Normal"/>
    <w:link w:val="QuoteChar"/>
    <w:uiPriority w:val="29"/>
    <w:qFormat/>
    <w:rsid w:val="00CB65FC"/>
    <w:pPr>
      <w:spacing w:before="160"/>
      <w:jc w:val="center"/>
    </w:pPr>
    <w:rPr>
      <w:i/>
      <w:iCs/>
      <w:color w:val="404040" w:themeColor="text1" w:themeTint="BF"/>
    </w:rPr>
  </w:style>
  <w:style w:type="character" w:customStyle="1" w:styleId="QuoteChar">
    <w:name w:val="Quote Char"/>
    <w:basedOn w:val="DefaultParagraphFont"/>
    <w:link w:val="Quote"/>
    <w:uiPriority w:val="29"/>
    <w:rsid w:val="00CB65FC"/>
    <w:rPr>
      <w:i/>
      <w:iCs/>
      <w:color w:val="404040" w:themeColor="text1" w:themeTint="BF"/>
    </w:rPr>
  </w:style>
  <w:style w:type="paragraph" w:styleId="IntenseQuote">
    <w:name w:val="Intense Quote"/>
    <w:basedOn w:val="Normal"/>
    <w:next w:val="Normal"/>
    <w:link w:val="IntenseQuoteChar"/>
    <w:uiPriority w:val="30"/>
    <w:qFormat/>
    <w:rsid w:val="00CB65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B65FC"/>
    <w:rPr>
      <w:i/>
      <w:iCs/>
      <w:color w:val="2F5496" w:themeColor="accent1" w:themeShade="BF"/>
    </w:rPr>
  </w:style>
  <w:style w:type="character" w:styleId="IntenseEmphasis">
    <w:name w:val="Intense Emphasis"/>
    <w:basedOn w:val="DefaultParagraphFont"/>
    <w:uiPriority w:val="21"/>
    <w:qFormat/>
    <w:rsid w:val="00CB65FC"/>
    <w:rPr>
      <w:i/>
      <w:iCs/>
      <w:color w:val="2F5496" w:themeColor="accent1" w:themeShade="BF"/>
    </w:rPr>
  </w:style>
  <w:style w:type="character" w:styleId="IntenseReference">
    <w:name w:val="Intense Reference"/>
    <w:basedOn w:val="DefaultParagraphFont"/>
    <w:uiPriority w:val="32"/>
    <w:qFormat/>
    <w:rsid w:val="00CB65FC"/>
    <w:rPr>
      <w:b/>
      <w:bCs/>
      <w:smallCaps/>
      <w:color w:val="2F5496" w:themeColor="accent1" w:themeShade="BF"/>
      <w:spacing w:val="5"/>
    </w:rPr>
  </w:style>
  <w:style w:type="paragraph" w:styleId="Header">
    <w:name w:val="header"/>
    <w:basedOn w:val="Normal"/>
    <w:link w:val="HeaderChar"/>
    <w:uiPriority w:val="99"/>
    <w:unhideWhenUsed/>
    <w:rsid w:val="00E402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E40244"/>
  </w:style>
  <w:style w:type="paragraph" w:styleId="Footer">
    <w:name w:val="footer"/>
    <w:basedOn w:val="Normal"/>
    <w:link w:val="FooterChar"/>
    <w:uiPriority w:val="99"/>
    <w:unhideWhenUsed/>
    <w:rsid w:val="00E402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E40244"/>
  </w:style>
  <w:style w:type="paragraph" w:styleId="BalloonText">
    <w:name w:val="Balloon Text"/>
    <w:basedOn w:val="Normal"/>
    <w:link w:val="BalloonTextChar"/>
    <w:uiPriority w:val="99"/>
    <w:semiHidden/>
    <w:unhideWhenUsed/>
    <w:rsid w:val="001E2E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2E39"/>
    <w:rPr>
      <w:rFonts w:ascii="Segoe UI" w:hAnsi="Segoe UI" w:cs="Segoe UI"/>
      <w:sz w:val="18"/>
      <w:szCs w:val="18"/>
    </w:rPr>
  </w:style>
  <w:style w:type="paragraph" w:styleId="Revision">
    <w:name w:val="Revision"/>
    <w:hidden/>
    <w:uiPriority w:val="99"/>
    <w:semiHidden/>
    <w:rsid w:val="000F1E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1317</Words>
  <Characters>7509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Abdulkadir Ç.</dc:creator>
  <cp:keywords/>
  <dc:description/>
  <cp:lastModifiedBy>Abdulkadir Ç.</cp:lastModifiedBy>
  <cp:revision>5</cp:revision>
  <dcterms:created xsi:type="dcterms:W3CDTF">2026-06-29T10:00:00Z</dcterms:created>
  <dcterms:modified xsi:type="dcterms:W3CDTF">2026-06-29T10:03:00Z</dcterms:modified>
</cp:coreProperties>
</file>